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9"/>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9"/>
        <w:rPr>
          <w:rFonts w:hint="default" w:ascii="方正小标宋_GBK" w:hAnsi="宋体" w:eastAsia="方正小标宋_GBK"/>
          <w:color w:val="auto"/>
          <w:kern w:val="0"/>
          <w:sz w:val="44"/>
          <w:szCs w:val="44"/>
          <w:highlight w:val="none"/>
        </w:rPr>
      </w:pPr>
    </w:p>
    <w:p>
      <w:pPr>
        <w:widowControl/>
        <w:tabs>
          <w:tab w:val="left" w:pos="2408"/>
          <w:tab w:val="center" w:pos="4510"/>
        </w:tabs>
        <w:spacing w:before="100" w:beforeAutospacing="1" w:after="100" w:afterAutospacing="1"/>
        <w:jc w:val="center"/>
        <w:outlineLvl w:val="0"/>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呼图壁县交通运输局</w:t>
      </w: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both"/>
        <w:outlineLvl w:val="9"/>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val="en-US" w:eastAsia="zh-CN"/>
        </w:rPr>
        <w:t>呼图壁县交通运输局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val="en-US" w:eastAsia="zh-CN"/>
        </w:rPr>
        <w:t>呼图壁县交通运输局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b w:val="0"/>
          <w:bCs/>
          <w:kern w:val="0"/>
          <w:sz w:val="32"/>
          <w:szCs w:val="32"/>
          <w:lang w:val="en-US" w:eastAsia="zh-CN"/>
        </w:rPr>
        <w:t>呼图壁县交通运输局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b w:val="0"/>
          <w:bCs/>
          <w:kern w:val="0"/>
          <w:sz w:val="32"/>
          <w:szCs w:val="32"/>
          <w:lang w:val="en-US" w:eastAsia="zh-CN"/>
        </w:rPr>
        <w:t>呼图壁县交通运输局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b w:val="0"/>
          <w:bCs/>
          <w:kern w:val="0"/>
          <w:sz w:val="32"/>
          <w:szCs w:val="32"/>
          <w:lang w:val="en-US" w:eastAsia="zh-CN"/>
        </w:rPr>
        <w:t>呼图壁县交通运输局</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s="Times New Roman"/>
          <w:kern w:val="0"/>
          <w:sz w:val="32"/>
          <w:szCs w:val="32"/>
          <w:lang w:eastAsia="zh-CN"/>
        </w:rPr>
        <w:t>呼图壁县交通运输局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9"/>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line="360" w:lineRule="auto"/>
        <w:ind w:firstLine="627" w:firstLineChars="196"/>
        <w:rPr>
          <w:rFonts w:hint="eastAsia" w:ascii="仿宋_GB2312" w:hAnsi="仿宋_GB2312" w:eastAsia="仿宋_GB2312" w:cs="仿宋_GB2312"/>
          <w:sz w:val="32"/>
          <w:szCs w:val="32"/>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黑体" w:hAnsi="黑体" w:eastAsia="黑体" w:cs="宋体"/>
          <w:bCs/>
          <w:kern w:val="0"/>
          <w:sz w:val="32"/>
          <w:szCs w:val="32"/>
        </w:rPr>
        <w:t>(</w:t>
      </w:r>
      <w:r>
        <w:rPr>
          <w:rFonts w:hint="eastAsia" w:ascii="仿宋_GB2312" w:hAnsi="仿宋_GB2312" w:eastAsia="仿宋_GB2312" w:cs="仿宋_GB2312"/>
          <w:sz w:val="32"/>
          <w:szCs w:val="32"/>
        </w:rPr>
        <w:t>一)贯彻落实国家、自治区、自治州公路交通运输行业的法律、法规、规章和措施，并组织实施和监督检查。</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(二)拟订县农村公路网、交通运输业发展规划和中长期计划并监督实施。</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组织领导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县交通运输行业体制改革；培育和管理交通运输市场，维护交通运输行业的平等竞争秩序。</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承担农村公路建设市场监管工作。监督实施农村公路工程建设相关政策、制度和技术标准，组织协调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承担县农村公路养护管理责任。编制并上报农村公路养护建议计划，管理农村公路养护资金，组织培训养护管理人员，组织实施并指导监督农村公路管理养护工作；依法组织编制公路灾害防治预案、专项应急预案，报县人民政府批准后实施。负责县农村公路的安全保护工作。负责农村公路货运车辆超限治理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负责并指导全县交通运输行业财务、审计、统计工作；负责做好全县一般农村公路及客运站点建设的财务管理及统计工作，配合相关单位做好农村公路及客运站点建设的项目审计工作；配合物价部门拟订交通运输行业价格，会同有关部门监督执行交通行业价格、税收及相关政策。</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(七)指导全县交通运输行业体制改革。会同县有关部门培育交通运输市场、交通建设市场，负责管理农村公路养护市场。负责交通运输行业信用体系建设工作。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客运站场的各类安全隐患整改落实，配合有关部门开展交通安全专项整治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(九)贯彻执行交通行业科技政策、技术标准和规范；做好全县交通运输行业职业教育、职工队伍建设和精神文明建设工作；做好交通运输行业环境保护和节能减排工作。组织交通运输行业统计、运行分析工作。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(十)监督指导交通运输综合行政执法工作，负责做好交通运输行业的法制宣传、行政复议、行政应诉、行政执法和监督工作。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(十一)负责全县交通战备工作。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)负责县行政区域内县、乡、村级农村公路</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路政行政执法、公路工程质量监督行政执法和道路运输的行政执法工作。</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outlineLvl w:val="2"/>
        <w:rPr>
          <w:rFonts w:ascii="仿宋_GB2312" w:hAnsi="宋体" w:eastAsia="仿宋_GB2312" w:cs="宋体"/>
          <w:bCs/>
          <w:color w:val="auto"/>
          <w:kern w:val="0"/>
          <w:sz w:val="32"/>
          <w:szCs w:val="32"/>
          <w:highlight w:val="none"/>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)完成县党委、县人民政府交办的其他任务</w:t>
      </w:r>
      <w:r>
        <w:rPr>
          <w:rFonts w:hint="eastAsia" w:ascii="黑体" w:hAnsi="黑体" w:eastAsia="黑体" w:cs="宋体"/>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lang w:eastAsia="zh-CN"/>
        </w:rPr>
        <w:t>呼图壁县交通运输局</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个处室，分别是：</w:t>
      </w:r>
      <w:r>
        <w:rPr>
          <w:rFonts w:hint="eastAsia" w:ascii="仿宋_GB2312" w:hAnsi="黑体" w:eastAsia="仿宋_GB2312" w:cs="宋体"/>
          <w:bCs/>
          <w:color w:val="auto"/>
          <w:kern w:val="0"/>
          <w:sz w:val="32"/>
          <w:szCs w:val="32"/>
        </w:rPr>
        <w:t>交通运输综合行政执法大队、规划科、运输科、安监（法规）科、综合办公室。</w:t>
      </w:r>
    </w:p>
    <w:p>
      <w:pPr>
        <w:widowControl/>
        <w:spacing w:line="540" w:lineRule="exact"/>
        <w:ind w:firstLine="640"/>
        <w:jc w:val="left"/>
      </w:pPr>
      <w:r>
        <w:rPr>
          <w:rFonts w:hint="eastAsia" w:ascii="仿宋_GB2312" w:hAnsi="黑体" w:eastAsia="仿宋_GB2312" w:cs="宋体"/>
          <w:bCs/>
          <w:kern w:val="0"/>
          <w:sz w:val="32"/>
          <w:szCs w:val="32"/>
          <w:lang w:eastAsia="zh-CN"/>
        </w:rPr>
        <w:t>呼图壁县交通运输局</w:t>
      </w:r>
      <w:r>
        <w:rPr>
          <w:rFonts w:hint="eastAsia" w:ascii="仿宋_GB2312" w:hAnsi="宋体" w:eastAsia="仿宋_GB2312" w:cs="宋体"/>
          <w:kern w:val="0"/>
          <w:sz w:val="32"/>
          <w:szCs w:val="32"/>
        </w:rPr>
        <w:t xml:space="preserve">编制数 </w:t>
      </w:r>
      <w:r>
        <w:rPr>
          <w:rFonts w:hint="eastAsia" w:ascii="仿宋_GB2312" w:hAnsi="宋体" w:eastAsia="仿宋_GB2312" w:cs="宋体"/>
          <w:kern w:val="0"/>
          <w:sz w:val="32"/>
          <w:szCs w:val="32"/>
          <w:lang w:val="en-US" w:eastAsia="zh-CN"/>
        </w:rPr>
        <w:t>29</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33</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29</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人；离休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rPr>
          <w:rFonts w:hint="eastAsia"/>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outlineLvl w:val="0"/>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呼图壁县交通运输局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bCs w:val="0"/>
          <w:kern w:val="0"/>
          <w:sz w:val="32"/>
          <w:szCs w:val="32"/>
          <w:lang w:val="en-US" w:eastAsia="zh-CN"/>
        </w:rPr>
        <w:t>呼图壁县交通运输局</w:t>
      </w:r>
      <w:r>
        <w:rPr>
          <w:rFonts w:hint="eastAsia" w:ascii="仿宋_GB2312" w:hAnsi="宋体" w:eastAsia="仿宋_GB2312"/>
          <w:b/>
          <w:color w:val="auto"/>
          <w:kern w:val="0"/>
          <w:sz w:val="32"/>
          <w:szCs w:val="32"/>
          <w:highlight w:val="none"/>
        </w:rPr>
        <w:t>收支总体情况表</w:t>
      </w:r>
    </w:p>
    <w:p>
      <w:pPr>
        <w:widowControl/>
        <w:spacing w:line="280" w:lineRule="exact"/>
        <w:ind w:firstLine="480" w:firstLineChars="200"/>
        <w:jc w:val="both"/>
        <w:outlineLvl w:val="1"/>
        <w:rPr>
          <w:rFonts w:hint="eastAsia" w:ascii="仿宋_GB2312" w:hAnsi="宋体" w:eastAsia="仿宋_GB2312"/>
          <w:kern w:val="0"/>
          <w:sz w:val="24"/>
        </w:rPr>
      </w:pPr>
    </w:p>
    <w:p>
      <w:pPr>
        <w:widowControl/>
        <w:spacing w:line="280" w:lineRule="exact"/>
        <w:ind w:firstLine="480" w:firstLineChars="200"/>
        <w:jc w:val="both"/>
        <w:outlineLvl w:val="1"/>
        <w:rPr>
          <w:rFonts w:ascii="仿宋_GB2312" w:hAnsi="宋体" w:eastAsia="仿宋_GB2312"/>
          <w:b/>
          <w:color w:val="auto"/>
          <w:kern w:val="0"/>
          <w:sz w:val="32"/>
          <w:szCs w:val="32"/>
          <w:highlight w:val="none"/>
        </w:rPr>
      </w:pPr>
      <w:r>
        <w:rPr>
          <w:rFonts w:hint="eastAsia" w:ascii="仿宋_GB2312" w:hAnsi="宋体" w:eastAsia="仿宋_GB2312"/>
          <w:kern w:val="0"/>
          <w:sz w:val="24"/>
        </w:rPr>
        <w:t>编制单位：</w:t>
      </w:r>
      <w:r>
        <w:rPr>
          <w:rFonts w:hint="eastAsia" w:ascii="仿宋_GB2312" w:hAnsi="宋体" w:eastAsia="仿宋_GB2312"/>
          <w:kern w:val="0"/>
          <w:sz w:val="24"/>
          <w:lang w:eastAsia="zh-CN"/>
        </w:rPr>
        <w:t>呼图壁县交通运输局</w:t>
      </w:r>
      <w:r>
        <w:rPr>
          <w:rFonts w:hint="eastAsia"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w:t>
      </w:r>
      <w:r>
        <w:rPr>
          <w:rFonts w:hint="eastAsia" w:ascii="仿宋_GB2312" w:hAnsi="宋体" w:eastAsia="仿宋_GB2312"/>
          <w:kern w:val="0"/>
          <w:sz w:val="24"/>
          <w:lang w:eastAsia="zh-CN"/>
        </w:rPr>
        <w:t>　　　　</w:t>
      </w:r>
      <w:r>
        <w:rPr>
          <w:rFonts w:hint="eastAsia" w:ascii="仿宋_GB2312" w:hAnsi="宋体" w:eastAsia="仿宋_GB2312"/>
          <w:kern w:val="0"/>
          <w:sz w:val="24"/>
        </w:rPr>
        <w:t>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7451.27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4824.60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2041.32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2783.28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2064.75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2064.75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130.89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72.19</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632.29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2064.75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tabs>
                <w:tab w:val="left" w:pos="414"/>
              </w:tabs>
              <w:spacing w:line="280" w:lineRule="exact"/>
              <w:jc w:val="left"/>
              <w:rPr>
                <w:rFonts w:hint="default"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tabs>
                <w:tab w:val="left" w:pos="203"/>
                <w:tab w:val="right" w:pos="1785"/>
              </w:tabs>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lang w:eastAsia="zh-CN"/>
              </w:rPr>
              <w:t>4010.67</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1316.00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148.64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148.64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148.64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75.78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7670.28</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7670.28</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呼图壁县交通运输局</w:t>
      </w:r>
      <w:r>
        <w:rPr>
          <w:rFonts w:hint="eastAsia" w:ascii="仿宋_GB2312" w:hAnsi="仿宋_GB2312" w:eastAsia="仿宋_GB2312" w:cs="仿宋_GB2312"/>
          <w:b/>
          <w:bCs w:val="0"/>
          <w:color w:val="auto"/>
          <w:kern w:val="0"/>
          <w:sz w:val="32"/>
          <w:szCs w:val="32"/>
          <w:highlight w:val="none"/>
        </w:rPr>
        <w:t>收入总体情况表</w:t>
      </w:r>
    </w:p>
    <w:p>
      <w:pPr>
        <w:widowControl/>
        <w:spacing w:line="280" w:lineRule="exact"/>
        <w:jc w:val="both"/>
        <w:outlineLvl w:val="1"/>
        <w:rPr>
          <w:rFonts w:hint="eastAsia" w:ascii="仿宋_GB2312" w:hAnsi="宋体" w:eastAsia="仿宋_GB2312"/>
          <w:kern w:val="0"/>
          <w:sz w:val="24"/>
        </w:rPr>
      </w:pPr>
    </w:p>
    <w:p>
      <w:pPr>
        <w:widowControl/>
        <w:spacing w:line="280" w:lineRule="exact"/>
        <w:jc w:val="both"/>
        <w:outlineLvl w:val="1"/>
        <w:rPr>
          <w:rFonts w:ascii="仿宋_GB2312" w:hAnsi="宋体" w:eastAsia="仿宋_GB2312"/>
          <w:b/>
          <w:color w:val="auto"/>
          <w:kern w:val="0"/>
          <w:sz w:val="32"/>
          <w:szCs w:val="32"/>
          <w:highlight w:val="none"/>
        </w:rPr>
      </w:pPr>
      <w:r>
        <w:rPr>
          <w:rFonts w:hint="eastAsia" w:ascii="仿宋_GB2312" w:hAnsi="宋体" w:eastAsia="仿宋_GB2312"/>
          <w:kern w:val="0"/>
          <w:sz w:val="24"/>
        </w:rPr>
        <w:t>编制单位：</w:t>
      </w:r>
      <w:r>
        <w:rPr>
          <w:rFonts w:hint="eastAsia" w:ascii="仿宋_GB2312" w:hAnsi="宋体" w:eastAsia="仿宋_GB2312"/>
          <w:kern w:val="0"/>
          <w:sz w:val="24"/>
          <w:lang w:eastAsia="zh-CN"/>
        </w:rPr>
        <w:t>呼图壁县交通运输局</w:t>
      </w:r>
      <w:r>
        <w:rPr>
          <w:rFonts w:hint="eastAsia" w:ascii="仿宋_GB2312" w:hAnsi="宋体" w:eastAsia="仿宋_GB2312"/>
          <w:kern w:val="0"/>
          <w:sz w:val="24"/>
        </w:rPr>
        <w:t xml:space="preserve">                  </w:t>
      </w:r>
      <w:r>
        <w:rPr>
          <w:rFonts w:hint="eastAsia" w:ascii="仿宋_GB2312" w:hAnsi="宋体" w:eastAsia="仿宋_GB2312"/>
          <w:kern w:val="0"/>
          <w:sz w:val="24"/>
          <w:lang w:eastAsia="zh-CN"/>
        </w:rPr>
        <w:t>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6"/>
        <w:tblW w:w="10095" w:type="dxa"/>
        <w:tblInd w:w="-525" w:type="dxa"/>
        <w:tblLayout w:type="fixed"/>
        <w:tblCellMar>
          <w:top w:w="0" w:type="dxa"/>
          <w:left w:w="108" w:type="dxa"/>
          <w:bottom w:w="0" w:type="dxa"/>
          <w:right w:w="108" w:type="dxa"/>
        </w:tblCellMar>
      </w:tblPr>
      <w:tblGrid>
        <w:gridCol w:w="492"/>
        <w:gridCol w:w="417"/>
        <w:gridCol w:w="417"/>
        <w:gridCol w:w="774"/>
        <w:gridCol w:w="900"/>
        <w:gridCol w:w="915"/>
        <w:gridCol w:w="915"/>
        <w:gridCol w:w="900"/>
        <w:gridCol w:w="645"/>
        <w:gridCol w:w="375"/>
        <w:gridCol w:w="405"/>
        <w:gridCol w:w="660"/>
        <w:gridCol w:w="555"/>
        <w:gridCol w:w="636"/>
        <w:gridCol w:w="699"/>
        <w:gridCol w:w="390"/>
      </w:tblGrid>
      <w:tr>
        <w:tblPrEx>
          <w:tblLayout w:type="fixed"/>
          <w:tblCellMar>
            <w:top w:w="0" w:type="dxa"/>
            <w:left w:w="108" w:type="dxa"/>
            <w:bottom w:w="0" w:type="dxa"/>
            <w:right w:w="108" w:type="dxa"/>
          </w:tblCellMar>
        </w:tblPrEx>
        <w:trPr>
          <w:trHeight w:val="697" w:hRule="atLeast"/>
        </w:trPr>
        <w:tc>
          <w:tcPr>
            <w:tcW w:w="132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7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0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815"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5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6"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99"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9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92"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7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0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1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1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0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0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55"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36"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99"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90"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208　</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社会保障和就业支出</w:t>
            </w:r>
          </w:p>
        </w:tc>
        <w:tc>
          <w:tcPr>
            <w:tcW w:w="90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130.89　</w:t>
            </w:r>
          </w:p>
        </w:tc>
        <w:tc>
          <w:tcPr>
            <w:tcW w:w="91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48.89　</w:t>
            </w:r>
          </w:p>
        </w:tc>
        <w:tc>
          <w:tcPr>
            <w:tcW w:w="91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48.89　</w:t>
            </w:r>
          </w:p>
        </w:tc>
        <w:tc>
          <w:tcPr>
            <w:tcW w:w="90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82.00</w:t>
            </w:r>
          </w:p>
        </w:tc>
        <w:tc>
          <w:tcPr>
            <w:tcW w:w="699"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行政事业单位养老支出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130.89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48.89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48.89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82.00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行政单位离退休</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3.58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3.58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3.58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05</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机关事业单位基本养老保险缴费支出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115.30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45.30</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45.30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70.00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05</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06</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机关事业单位职业年金缴费支出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12.00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12</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卫生健康支出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72.19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29.06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29.06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36.50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6.64</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04</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公共卫生</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6.64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6.64</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04</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10</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突发公共卫生事件应急处置</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6.64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6.64</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行政事业单位医疗</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65.56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29.06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29.06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36.5</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行政单位医疗</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48.13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18.13</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18.13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30.00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事业单位医疗</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4.52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4.52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4.52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公务员医疗补助</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12.73</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6.23</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6.23</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6.50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其他行政事业单位医疗支出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0.17</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0.17</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0.17</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212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城乡社区支出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国有土地使用权出让收入安排的支出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90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其他国有土地使用权出让收入安排的支出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214</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交通运输支出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4010.67</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3392.87</w:t>
            </w:r>
          </w:p>
        </w:tc>
        <w:tc>
          <w:tcPr>
            <w:tcW w:w="915"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609.59</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2783.28</w:t>
            </w: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475.80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142.00</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公路水路运输</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4010.67</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3392.87</w:t>
            </w:r>
          </w:p>
        </w:tc>
        <w:tc>
          <w:tcPr>
            <w:tcW w:w="915"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609.59</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2783.28</w:t>
            </w: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475.80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142.00</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sz w:val="18"/>
                <w:szCs w:val="18"/>
              </w:rPr>
              <w:t>行政运行</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432.39</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341.59</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341.59</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90.80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04</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公路建设</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2992.44</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2465.44</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2465.44</w:t>
            </w: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rPr>
              <w:t>385.00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142.00</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06</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sz w:val="18"/>
                <w:szCs w:val="18"/>
              </w:rPr>
              <w:t>公路养护</w:t>
            </w:r>
          </w:p>
        </w:tc>
        <w:tc>
          <w:tcPr>
            <w:tcW w:w="90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585.84</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585.84</w:t>
            </w:r>
          </w:p>
        </w:tc>
        <w:tc>
          <w:tcPr>
            <w:tcW w:w="915"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268.00</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317.84</w:t>
            </w: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215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资源勘探工业信息等支出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支持中小企业发展和管理支出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其他支持中小企业发展和管理支出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1316.00</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1316.00</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1316.00</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221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住房保障支出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75.78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37.78</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37.78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38.00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住房改革支出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75.78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37.78</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37.78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38.00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住房公积金</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75.78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37.78</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37.78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38.00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77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b/>
                <w:bCs/>
                <w:color w:val="auto"/>
                <w:sz w:val="20"/>
                <w:szCs w:val="20"/>
                <w:highlight w:val="none"/>
              </w:rPr>
              <w:t>合  计</w:t>
            </w:r>
            <w:r>
              <w:rPr>
                <w:rFonts w:hint="eastAsia" w:ascii="仿宋_GB2312" w:hAnsi="仿宋_GB2312" w:eastAsia="仿宋_GB2312" w:cs="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7670.28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6889.35　</w:t>
            </w:r>
          </w:p>
        </w:tc>
        <w:tc>
          <w:tcPr>
            <w:tcW w:w="915"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b/>
                <w:bCs/>
                <w:color w:val="auto"/>
                <w:sz w:val="20"/>
                <w:szCs w:val="20"/>
                <w:highlight w:val="none"/>
                <w:lang w:val="en-US" w:eastAsia="zh-CN"/>
              </w:rPr>
            </w:pPr>
            <w:r>
              <w:rPr>
                <w:rFonts w:hint="eastAsia" w:ascii="仿宋_GB2312" w:hAnsi="仿宋_GB2312" w:eastAsia="仿宋_GB2312" w:cs="仿宋_GB2312"/>
                <w:b/>
                <w:bCs/>
                <w:color w:val="auto"/>
                <w:sz w:val="20"/>
                <w:szCs w:val="20"/>
                <w:highlight w:val="none"/>
                <w:lang w:val="en-US" w:eastAsia="zh-CN"/>
              </w:rPr>
              <w:t>2041.32</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2783.28</w:t>
            </w: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2064.75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632.30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148.64</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p>
        </w:tc>
      </w:tr>
    </w:tbl>
    <w:p>
      <w:pPr>
        <w:widowControl/>
        <w:spacing w:line="280" w:lineRule="exact"/>
        <w:outlineLvl w:val="9"/>
        <w:rPr>
          <w:rFonts w:hint="eastAsia" w:ascii="仿宋_GB2312" w:hAnsi="仿宋_GB2312" w:eastAsia="仿宋_GB2312" w:cs="仿宋_GB2312"/>
          <w:b/>
          <w:color w:val="auto"/>
          <w:kern w:val="0"/>
          <w:sz w:val="28"/>
          <w:szCs w:val="32"/>
          <w:highlight w:val="none"/>
        </w:rPr>
      </w:pPr>
    </w:p>
    <w:p>
      <w:pPr>
        <w:pStyle w:val="2"/>
        <w:outlineLvl w:val="9"/>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outlineLvl w:val="9"/>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outlineLvl w:val="9"/>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rPr>
          <w:rFonts w:hint="eastAsia" w:ascii="仿宋_GB2312" w:hAnsi="宋体" w:eastAsia="仿宋_GB2312"/>
          <w:b/>
          <w:color w:val="auto"/>
          <w:kern w:val="0"/>
          <w:sz w:val="28"/>
          <w:szCs w:val="32"/>
          <w:highlight w:val="none"/>
        </w:rPr>
      </w:pPr>
    </w:p>
    <w:p>
      <w:pPr>
        <w:rPr>
          <w:rFonts w:hint="eastAsia"/>
        </w:rPr>
      </w:pPr>
    </w:p>
    <w:p>
      <w:pPr>
        <w:rPr>
          <w:rFonts w:hint="eastAsia" w:ascii="仿宋_GB2312" w:hAnsi="宋体" w:eastAsia="仿宋_GB2312"/>
          <w:b/>
          <w:color w:val="auto"/>
          <w:kern w:val="0"/>
          <w:sz w:val="28"/>
          <w:szCs w:val="32"/>
          <w:highlight w:val="none"/>
        </w:rPr>
      </w:pPr>
    </w:p>
    <w:p>
      <w:pPr>
        <w:pStyle w:val="2"/>
        <w:outlineLvl w:val="9"/>
        <w:rPr>
          <w:rFonts w:hint="eastAsia"/>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呼图壁县交通运输局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9"/>
        <w:rPr>
          <w:rFonts w:ascii="仿宋_GB2312" w:hAnsi="宋体" w:eastAsia="仿宋_GB2312"/>
          <w:b/>
          <w:color w:val="auto"/>
          <w:kern w:val="0"/>
          <w:sz w:val="32"/>
          <w:szCs w:val="32"/>
          <w:highlight w:val="none"/>
        </w:rPr>
      </w:pPr>
    </w:p>
    <w:p>
      <w:pPr>
        <w:widowControl/>
        <w:spacing w:line="280" w:lineRule="exact"/>
        <w:jc w:val="both"/>
        <w:outlineLvl w:val="1"/>
        <w:rPr>
          <w:rFonts w:hint="eastAsia" w:ascii="仿宋_GB2312" w:hAnsi="宋体" w:eastAsia="仿宋_GB2312"/>
          <w:kern w:val="0"/>
          <w:sz w:val="24"/>
        </w:rPr>
      </w:pP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kern w:val="0"/>
          <w:sz w:val="24"/>
        </w:rPr>
        <w:t>编制单位：</w:t>
      </w:r>
      <w:r>
        <w:rPr>
          <w:rFonts w:hint="eastAsia" w:ascii="仿宋_GB2312" w:hAnsi="宋体" w:eastAsia="仿宋_GB2312"/>
          <w:kern w:val="0"/>
          <w:sz w:val="24"/>
          <w:lang w:eastAsia="zh-CN"/>
        </w:rPr>
        <w:t>呼图壁县交通运输局</w:t>
      </w:r>
      <w:r>
        <w:rPr>
          <w:rFonts w:hint="eastAsia" w:ascii="仿宋_GB2312" w:hAnsi="宋体" w:eastAsia="仿宋_GB2312"/>
          <w:kern w:val="0"/>
          <w:sz w:val="24"/>
        </w:rPr>
        <w:t xml:space="preserve">                  </w:t>
      </w:r>
      <w:r>
        <w:rPr>
          <w:rFonts w:hint="eastAsia" w:ascii="仿宋_GB2312" w:hAnsi="宋体" w:eastAsia="仿宋_GB2312"/>
          <w:kern w:val="0"/>
          <w:sz w:val="24"/>
          <w:lang w:eastAsia="zh-CN"/>
        </w:rPr>
        <w:t>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6"/>
        <w:tblW w:w="9585" w:type="dxa"/>
        <w:tblInd w:w="-405" w:type="dxa"/>
        <w:tblLayout w:type="fixed"/>
        <w:tblCellMar>
          <w:top w:w="0" w:type="dxa"/>
          <w:left w:w="108" w:type="dxa"/>
          <w:bottom w:w="0" w:type="dxa"/>
          <w:right w:w="108" w:type="dxa"/>
        </w:tblCellMar>
      </w:tblPr>
      <w:tblGrid>
        <w:gridCol w:w="582"/>
        <w:gridCol w:w="417"/>
        <w:gridCol w:w="417"/>
        <w:gridCol w:w="2587"/>
        <w:gridCol w:w="1844"/>
        <w:gridCol w:w="1845"/>
        <w:gridCol w:w="1893"/>
      </w:tblGrid>
      <w:tr>
        <w:tblPrEx>
          <w:tblLayout w:type="fixed"/>
          <w:tblCellMar>
            <w:top w:w="0" w:type="dxa"/>
            <w:left w:w="108" w:type="dxa"/>
            <w:bottom w:w="0" w:type="dxa"/>
            <w:right w:w="108" w:type="dxa"/>
          </w:tblCellMar>
        </w:tblPrEx>
        <w:trPr>
          <w:trHeight w:val="328" w:hRule="atLeast"/>
        </w:trPr>
        <w:tc>
          <w:tcPr>
            <w:tcW w:w="4003"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416"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社会保障和就业支出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130.89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130.89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行政事业单位养老支出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130.89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130.89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行政单位离退休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3.58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3.58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05</w:t>
            </w: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机关事业单位基本养老保险缴费支出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115.30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115.30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06</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机关事业单位职业年金缴费支出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12.00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12.00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卫生健康支出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72.19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65.56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6.64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04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公共卫生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6.64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6.64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04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10　</w:t>
            </w:r>
          </w:p>
        </w:tc>
        <w:tc>
          <w:tcPr>
            <w:tcW w:w="2587"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突发公共卫生事件应急处置</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6.64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6.64　</w:t>
            </w:r>
          </w:p>
        </w:tc>
      </w:tr>
      <w:tr>
        <w:tblPrEx>
          <w:tblLayout w:type="fixed"/>
          <w:tblCellMar>
            <w:top w:w="0" w:type="dxa"/>
            <w:left w:w="108" w:type="dxa"/>
            <w:bottom w:w="0" w:type="dxa"/>
            <w:right w:w="108" w:type="dxa"/>
          </w:tblCellMar>
        </w:tblPrEx>
        <w:trPr>
          <w:trHeight w:val="7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rPr>
              <w:t>2</w:t>
            </w:r>
            <w:r>
              <w:rPr>
                <w:rFonts w:hint="eastAsia" w:ascii="仿宋_GB2312" w:hAnsi="仿宋_GB2312" w:eastAsia="仿宋_GB2312" w:cs="仿宋_GB2312"/>
                <w:b w:val="0"/>
                <w:bCs w:val="0"/>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11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行政事业单位医疗</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65.56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65.56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w:t>
            </w:r>
            <w:r>
              <w:rPr>
                <w:rFonts w:hint="eastAsia" w:ascii="仿宋_GB2312" w:hAnsi="仿宋_GB2312" w:eastAsia="仿宋_GB2312" w:cs="仿宋_GB2312"/>
                <w:b w:val="0"/>
                <w:bCs w:val="0"/>
                <w:color w:val="auto"/>
                <w:kern w:val="0"/>
                <w:sz w:val="18"/>
                <w:szCs w:val="18"/>
                <w:highlight w:val="none"/>
                <w:lang w:val="en-US" w:eastAsia="zh-CN"/>
              </w:rPr>
              <w:t>10</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11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01</w:t>
            </w: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行政单位医疗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48.13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48.13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w:t>
            </w:r>
            <w:r>
              <w:rPr>
                <w:rFonts w:hint="eastAsia" w:ascii="仿宋_GB2312" w:hAnsi="仿宋_GB2312" w:eastAsia="仿宋_GB2312" w:cs="仿宋_GB2312"/>
                <w:b w:val="0"/>
                <w:bCs w:val="0"/>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eastAsia="zh-CN"/>
              </w:rPr>
            </w:pPr>
            <w:r>
              <w:rPr>
                <w:rFonts w:hint="eastAsia" w:ascii="仿宋_GB2312" w:hAnsi="仿宋_GB2312" w:eastAsia="仿宋_GB2312" w:cs="仿宋_GB2312"/>
                <w:b w:val="0"/>
                <w:bCs w:val="0"/>
                <w:color w:val="auto"/>
                <w:kern w:val="0"/>
                <w:sz w:val="18"/>
                <w:szCs w:val="18"/>
                <w:highlight w:val="none"/>
              </w:rPr>
              <w:t>0</w:t>
            </w:r>
            <w:r>
              <w:rPr>
                <w:rFonts w:hint="eastAsia" w:ascii="仿宋_GB2312" w:hAnsi="仿宋_GB2312" w:eastAsia="仿宋_GB2312" w:cs="仿宋_GB2312"/>
                <w:b w:val="0"/>
                <w:bCs w:val="0"/>
                <w:color w:val="auto"/>
                <w:kern w:val="0"/>
                <w:sz w:val="18"/>
                <w:szCs w:val="18"/>
                <w:highlight w:val="none"/>
                <w:lang w:val="en-US" w:eastAsia="zh-CN"/>
              </w:rPr>
              <w:t>2</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事业单位医疗</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4.52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4.52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w:t>
            </w:r>
            <w:r>
              <w:rPr>
                <w:rFonts w:hint="eastAsia" w:ascii="仿宋_GB2312" w:hAnsi="仿宋_GB2312" w:eastAsia="仿宋_GB2312" w:cs="仿宋_GB2312"/>
                <w:b w:val="0"/>
                <w:bCs w:val="0"/>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公务员医疗补助</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12.73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12.73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w:t>
            </w:r>
            <w:r>
              <w:rPr>
                <w:rFonts w:hint="eastAsia" w:ascii="仿宋_GB2312" w:hAnsi="仿宋_GB2312" w:eastAsia="仿宋_GB2312" w:cs="仿宋_GB2312"/>
                <w:b w:val="0"/>
                <w:bCs w:val="0"/>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其他行政事业单位医疗支出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0.17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0.17</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城乡社区支出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国有土地使用权出让收入安排的支出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其他国有土地使用权出让收入安排的支出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交通运输支出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4010.67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432.39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3578.28</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公路水路运输</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4010.67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432.39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3578.28</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行政运行</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432.39</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432.39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04</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公路建设</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2992.44</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2992.44</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06</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公路养护</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585.84</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585.84</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资源勘探工业信息等支出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支持中小企业发展和管理支出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其他支持中小企业发展和管理支出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221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住房保障支出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75.78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75.78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221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02</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住房改革支出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75.78</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75.78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221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02</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b w:val="0"/>
                <w:bCs w:val="0"/>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01</w:t>
            </w:r>
          </w:p>
        </w:tc>
        <w:tc>
          <w:tcPr>
            <w:tcW w:w="2587" w:type="dxa"/>
            <w:tcBorders>
              <w:top w:val="nil"/>
              <w:left w:val="nil"/>
              <w:bottom w:val="single" w:color="auto" w:sz="4" w:space="0"/>
              <w:right w:val="single" w:color="auto" w:sz="4" w:space="0"/>
            </w:tcBorders>
            <w:vAlign w:val="center"/>
          </w:tcPr>
          <w:p>
            <w:pPr>
              <w:ind w:firstLine="540" w:firstLineChars="300"/>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住房公积金</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　75.78</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75.78　</w:t>
            </w:r>
          </w:p>
        </w:tc>
        <w:tc>
          <w:tcPr>
            <w:tcW w:w="1893"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b w:val="0"/>
                <w:bCs w:val="0"/>
                <w:color w:val="auto"/>
                <w:sz w:val="18"/>
                <w:szCs w:val="18"/>
                <w:highlight w:val="none"/>
              </w:rPr>
            </w:pPr>
          </w:p>
        </w:tc>
      </w:tr>
      <w:tr>
        <w:tblPrEx>
          <w:tblLayout w:type="fixed"/>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7670.28</w:t>
            </w:r>
          </w:p>
        </w:tc>
        <w:tc>
          <w:tcPr>
            <w:tcW w:w="184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704.62</w:t>
            </w:r>
          </w:p>
        </w:tc>
        <w:tc>
          <w:tcPr>
            <w:tcW w:w="189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6965.67</w:t>
            </w:r>
          </w:p>
        </w:tc>
      </w:tr>
    </w:tbl>
    <w:p>
      <w:pPr>
        <w:rPr>
          <w:rFonts w:hint="eastAsia" w:ascii="仿宋_GB2312" w:hAnsi="宋体" w:eastAsia="仿宋_GB2312"/>
          <w:b/>
          <w:color w:val="auto"/>
          <w:kern w:val="0"/>
          <w:sz w:val="28"/>
          <w:szCs w:val="32"/>
          <w:highlight w:val="none"/>
        </w:rPr>
      </w:pPr>
    </w:p>
    <w:p>
      <w:pPr>
        <w:pStyle w:val="2"/>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rPr>
          <w:rFonts w:hint="eastAsia"/>
        </w:rPr>
      </w:pPr>
    </w:p>
    <w:p>
      <w:pPr>
        <w:pStyle w:val="2"/>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line="280" w:lineRule="exact"/>
        <w:jc w:val="both"/>
        <w:outlineLvl w:val="1"/>
        <w:rPr>
          <w:rFonts w:ascii="仿宋_GB2312" w:hAnsi="宋体" w:eastAsia="仿宋_GB2312"/>
          <w:b/>
          <w:color w:val="auto"/>
          <w:kern w:val="0"/>
          <w:sz w:val="32"/>
          <w:szCs w:val="32"/>
          <w:highlight w:val="none"/>
        </w:rPr>
      </w:pPr>
      <w:r>
        <w:rPr>
          <w:rFonts w:hint="eastAsia" w:ascii="仿宋_GB2312" w:hAnsi="宋体" w:eastAsia="仿宋_GB2312"/>
          <w:kern w:val="0"/>
          <w:sz w:val="24"/>
        </w:rPr>
        <w:t>编制单位：</w:t>
      </w:r>
      <w:r>
        <w:rPr>
          <w:rFonts w:hint="eastAsia" w:ascii="仿宋_GB2312" w:hAnsi="宋体" w:eastAsia="仿宋_GB2312"/>
          <w:kern w:val="0"/>
          <w:sz w:val="24"/>
          <w:lang w:eastAsia="zh-CN"/>
        </w:rPr>
        <w:t>呼图壁县交通运输局</w:t>
      </w:r>
      <w:r>
        <w:rPr>
          <w:rFonts w:hint="eastAsia" w:ascii="仿宋_GB2312" w:hAnsi="宋体" w:eastAsia="仿宋_GB2312"/>
          <w:kern w:val="0"/>
          <w:sz w:val="24"/>
        </w:rPr>
        <w:t xml:space="preserve">                  </w:t>
      </w:r>
      <w:r>
        <w:rPr>
          <w:rFonts w:hint="eastAsia" w:ascii="仿宋_GB2312" w:hAnsi="宋体" w:eastAsia="仿宋_GB2312"/>
          <w:kern w:val="0"/>
          <w:sz w:val="24"/>
          <w:lang w:eastAsia="zh-CN"/>
        </w:rPr>
        <w:t>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Hans"/>
              </w:rPr>
              <w:t>一、</w:t>
            </w:r>
            <w:r>
              <w:rPr>
                <w:rFonts w:hint="eastAsia" w:ascii="仿宋_GB2312" w:hAnsi="仿宋_GB2312" w:eastAsia="仿宋_GB2312" w:cs="仿宋_GB2312"/>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6889.35</w:t>
            </w: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4824.6</w:t>
            </w: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2064.75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48.89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48.89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Layout w:type="fixed"/>
          <w:tblCellMar>
            <w:top w:w="0" w:type="dxa"/>
            <w:left w:w="108" w:type="dxa"/>
            <w:bottom w:w="0" w:type="dxa"/>
            <w:right w:w="108" w:type="dxa"/>
          </w:tblCellMar>
        </w:tblPrEx>
        <w:trPr>
          <w:trHeight w:val="28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29.06</w:t>
            </w: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29.06</w:t>
            </w: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2064.75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2064.75</w:t>
            </w: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3392.87</w:t>
            </w: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eastAsia="zh-CN"/>
              </w:rPr>
            </w:pPr>
            <w:r>
              <w:rPr>
                <w:rFonts w:hint="eastAsia" w:ascii="仿宋_GB2312" w:hAnsi="仿宋_GB2312" w:eastAsia="仿宋_GB2312" w:cs="仿宋_GB2312"/>
                <w:color w:val="auto"/>
                <w:kern w:val="0"/>
                <w:sz w:val="18"/>
                <w:szCs w:val="18"/>
                <w:highlight w:val="none"/>
                <w:lang w:val="en-US" w:eastAsia="zh-CN"/>
              </w:rPr>
              <w:t>3392.87</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215 资源勘探</w:t>
            </w:r>
            <w:r>
              <w:rPr>
                <w:rFonts w:hint="eastAsia" w:ascii="仿宋_GB2312" w:hAnsi="仿宋_GB2312" w:eastAsia="仿宋_GB2312" w:cs="仿宋_GB2312"/>
                <w:b w:val="0"/>
                <w:bCs w:val="0"/>
                <w:color w:val="auto"/>
                <w:kern w:val="0"/>
                <w:sz w:val="18"/>
                <w:szCs w:val="18"/>
                <w:highlight w:val="none"/>
                <w:lang w:val="en-US" w:eastAsia="zh-Hans"/>
              </w:rPr>
              <w:t>工业</w:t>
            </w:r>
            <w:r>
              <w:rPr>
                <w:rFonts w:hint="eastAsia" w:ascii="仿宋_GB2312" w:hAnsi="仿宋_GB2312" w:eastAsia="仿宋_GB2312" w:cs="仿宋_GB2312"/>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1316.00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1316.00</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37.78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37.78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bCs/>
                <w:color w:val="auto"/>
                <w:kern w:val="0"/>
                <w:sz w:val="18"/>
                <w:szCs w:val="18"/>
                <w:highlight w:val="none"/>
              </w:rPr>
              <w:t>6889.35</w:t>
            </w:r>
            <w:r>
              <w:rPr>
                <w:rFonts w:hint="eastAsia" w:ascii="仿宋_GB2312" w:hAnsi="仿宋_GB2312" w:eastAsia="仿宋_GB2312" w:cs="仿宋_GB2312"/>
                <w:b/>
                <w:bCs/>
                <w:color w:val="auto"/>
                <w:kern w:val="0"/>
                <w:sz w:val="20"/>
                <w:szCs w:val="20"/>
                <w:highlight w:val="none"/>
              </w:rPr>
              <w:t>8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color w:val="auto"/>
                <w:kern w:val="0"/>
                <w:sz w:val="18"/>
                <w:szCs w:val="18"/>
                <w:highlight w:val="none"/>
              </w:rPr>
              <w:t>6889.35</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color w:val="auto"/>
                <w:kern w:val="0"/>
                <w:sz w:val="18"/>
                <w:szCs w:val="18"/>
                <w:highlight w:val="none"/>
                <w:lang w:val="en-US" w:eastAsia="zh-CN"/>
              </w:rPr>
              <w:t>4824.6</w:t>
            </w:r>
            <w:r>
              <w:rPr>
                <w:rFonts w:hint="eastAsia" w:ascii="仿宋_GB2312" w:hAnsi="仿宋_GB2312" w:eastAsia="仿宋_GB2312" w:cs="仿宋_GB2312"/>
                <w:b/>
                <w:bCs/>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2064.75</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85" w:type="dxa"/>
        <w:tblInd w:w="-105" w:type="dxa"/>
        <w:tblLayout w:type="fixed"/>
        <w:tblCellMar>
          <w:top w:w="0" w:type="dxa"/>
          <w:left w:w="108" w:type="dxa"/>
          <w:bottom w:w="0" w:type="dxa"/>
          <w:right w:w="108" w:type="dxa"/>
        </w:tblCellMar>
      </w:tblPr>
      <w:tblGrid>
        <w:gridCol w:w="545"/>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85"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058"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编制单位：呼图县交通运输局</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58"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48"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4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p>
        </w:tc>
        <w:tc>
          <w:tcPr>
            <w:tcW w:w="2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社会保障和就业支出　</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48.89</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48.89</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
                <w:color w:val="auto"/>
                <w:kern w:val="0"/>
                <w:sz w:val="18"/>
                <w:szCs w:val="18"/>
                <w:highlight w:val="none"/>
              </w:rPr>
            </w:pPr>
            <w:r>
              <w:rPr>
                <w:rFonts w:hint="eastAsia" w:asciiTheme="minorEastAsia" w:hAnsiTheme="minorEastAsia" w:eastAsiaTheme="minorEastAsia" w:cstheme="minorEastAsia"/>
                <w:b/>
                <w:color w:val="auto"/>
                <w:kern w:val="0"/>
                <w:sz w:val="18"/>
                <w:szCs w:val="18"/>
                <w:highlight w:val="none"/>
              </w:rPr>
              <w:t>　</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p>
        </w:tc>
        <w:tc>
          <w:tcPr>
            <w:tcW w:w="2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行政事业单位养老支出　</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48.89</w:t>
            </w:r>
          </w:p>
        </w:tc>
        <w:tc>
          <w:tcPr>
            <w:tcW w:w="1842"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48.89</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行政单位离退休　</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3.58</w:t>
            </w:r>
          </w:p>
        </w:tc>
        <w:tc>
          <w:tcPr>
            <w:tcW w:w="1842"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3.58</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r>
              <w:rPr>
                <w:rFonts w:hint="eastAsia" w:ascii="仿宋_GB2312" w:hAnsi="仿宋_GB2312" w:eastAsia="仿宋_GB2312" w:cs="仿宋_GB2312"/>
                <w:b w:val="0"/>
                <w:bCs w:val="0"/>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机关事业单位基本养老保险缴费支出　</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45.30</w:t>
            </w:r>
          </w:p>
        </w:tc>
        <w:tc>
          <w:tcPr>
            <w:tcW w:w="1842"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45.30</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210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卫生健康支出　</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29.06</w:t>
            </w:r>
          </w:p>
        </w:tc>
        <w:tc>
          <w:tcPr>
            <w:tcW w:w="1842"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29.06</w:t>
            </w:r>
          </w:p>
        </w:tc>
        <w:tc>
          <w:tcPr>
            <w:tcW w:w="1701" w:type="dxa"/>
            <w:tcBorders>
              <w:top w:val="nil"/>
              <w:left w:val="nil"/>
              <w:bottom w:val="single" w:color="auto" w:sz="4" w:space="0"/>
              <w:right w:val="single" w:color="auto" w:sz="4" w:space="0"/>
            </w:tcBorders>
            <w:vAlign w:val="center"/>
          </w:tcPr>
          <w:p>
            <w:pPr>
              <w:widowControl/>
              <w:ind w:firstLine="360" w:firstLineChars="200"/>
              <w:jc w:val="left"/>
              <w:rPr>
                <w:rFonts w:hint="eastAsia" w:asciiTheme="minorEastAsia" w:hAnsiTheme="minorEastAsia" w:eastAsiaTheme="minorEastAsia" w:cstheme="minorEastAsia"/>
                <w:color w:val="auto"/>
                <w:kern w:val="0"/>
                <w:sz w:val="18"/>
                <w:szCs w:val="18"/>
                <w:highlight w:val="none"/>
              </w:rPr>
            </w:pP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210</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行政事业单位医疗</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29.06</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29.06</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210</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01</w:t>
            </w: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行政单位医疗</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18.13</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18.13</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210</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02</w:t>
            </w: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事业单位医疗</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4.52</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4.52</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210</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03</w:t>
            </w: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公务员医疗补助</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6.23</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6.23</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210</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其他行政事业单位医疗支出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0.17</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0.17</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214</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交通运输支出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eastAsia="zh-CN"/>
              </w:rPr>
            </w:pPr>
            <w:r>
              <w:rPr>
                <w:rFonts w:hint="eastAsia" w:asciiTheme="minorEastAsia" w:hAnsiTheme="minorEastAsia" w:eastAsiaTheme="minorEastAsia" w:cstheme="minorEastAsia"/>
                <w:color w:val="auto"/>
                <w:kern w:val="0"/>
                <w:sz w:val="18"/>
                <w:szCs w:val="18"/>
                <w:highlight w:val="none"/>
                <w:lang w:val="en-US" w:eastAsia="zh-CN"/>
              </w:rPr>
              <w:t>3392.87</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341.59</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r>
              <w:rPr>
                <w:rFonts w:hint="eastAsia" w:asciiTheme="minorEastAsia" w:hAnsiTheme="minorEastAsia" w:eastAsiaTheme="minorEastAsia" w:cstheme="minorEastAsia"/>
                <w:color w:val="auto"/>
                <w:kern w:val="0"/>
                <w:sz w:val="18"/>
                <w:szCs w:val="18"/>
                <w:highlight w:val="none"/>
                <w:lang w:val="en-US" w:eastAsia="zh-CN"/>
              </w:rPr>
              <w:t>3051.28</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214</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公路水路运输</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lang w:val="en-US" w:eastAsia="zh-CN"/>
              </w:rPr>
              <w:t>3392.87</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　341.59</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　</w:t>
            </w:r>
            <w:r>
              <w:rPr>
                <w:rFonts w:hint="eastAsia" w:asciiTheme="minorEastAsia" w:hAnsiTheme="minorEastAsia" w:eastAsiaTheme="minorEastAsia" w:cstheme="minorEastAsia"/>
                <w:color w:val="auto"/>
                <w:kern w:val="0"/>
                <w:sz w:val="18"/>
                <w:szCs w:val="18"/>
                <w:highlight w:val="none"/>
                <w:lang w:val="en-US" w:eastAsia="zh-CN"/>
              </w:rPr>
              <w:t>3051.28</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214</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行政运行</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341.59</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341.59</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214</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公路建设</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r>
              <w:rPr>
                <w:rFonts w:hint="eastAsia" w:asciiTheme="minorEastAsia" w:hAnsiTheme="minorEastAsia" w:eastAsiaTheme="minorEastAsia" w:cstheme="minorEastAsia"/>
                <w:color w:val="auto"/>
                <w:kern w:val="0"/>
                <w:sz w:val="18"/>
                <w:szCs w:val="18"/>
                <w:highlight w:val="none"/>
                <w:lang w:val="en-US" w:eastAsia="zh-CN"/>
              </w:rPr>
              <w:t>2465.44</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r>
              <w:rPr>
                <w:rFonts w:hint="eastAsia" w:asciiTheme="minorEastAsia" w:hAnsiTheme="minorEastAsia" w:eastAsiaTheme="minorEastAsia" w:cstheme="minorEastAsia"/>
                <w:color w:val="auto"/>
                <w:kern w:val="0"/>
                <w:sz w:val="18"/>
                <w:szCs w:val="18"/>
                <w:highlight w:val="none"/>
                <w:lang w:val="en-US" w:eastAsia="zh-CN"/>
              </w:rPr>
              <w:t>2465.44</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214</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06</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公路养护</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585.84</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585.84</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215　</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资源勘探工业信息等支出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1316.00</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1316.00</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215</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支持中小企业发展和管理支出</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1316.00</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 xml:space="preserve">  1316.00</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215</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08</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其他支持中小企业发展和管理支出</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1316.00</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bidi="ar-SA"/>
              </w:rPr>
            </w:pP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lang w:val="en-US" w:eastAsia="zh-CN"/>
              </w:rPr>
              <w:t xml:space="preserve">  1316.00</w:t>
            </w: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221</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住房保障支出</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37.78</w:t>
            </w:r>
          </w:p>
        </w:tc>
        <w:tc>
          <w:tcPr>
            <w:tcW w:w="1842" w:type="dxa"/>
            <w:gridSpan w:val="2"/>
            <w:tcBorders>
              <w:top w:val="nil"/>
              <w:left w:val="nil"/>
              <w:bottom w:val="single" w:color="auto" w:sz="4" w:space="0"/>
              <w:right w:val="single" w:color="auto" w:sz="4" w:space="0"/>
            </w:tcBorders>
            <w:vAlign w:val="center"/>
          </w:tcPr>
          <w:p>
            <w:pPr>
              <w:widowControl/>
              <w:ind w:firstLine="360" w:firstLineChars="2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37.78</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住房改革支出</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37.78</w:t>
            </w:r>
          </w:p>
        </w:tc>
        <w:tc>
          <w:tcPr>
            <w:tcW w:w="1842" w:type="dxa"/>
            <w:gridSpan w:val="2"/>
            <w:tcBorders>
              <w:top w:val="nil"/>
              <w:left w:val="nil"/>
              <w:bottom w:val="single" w:color="auto" w:sz="4" w:space="0"/>
              <w:right w:val="single" w:color="auto" w:sz="4" w:space="0"/>
            </w:tcBorders>
            <w:vAlign w:val="center"/>
          </w:tcPr>
          <w:p>
            <w:pPr>
              <w:widowControl/>
              <w:ind w:firstLine="360" w:firstLineChars="200"/>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37.78</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住房公积金</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37.78</w:t>
            </w:r>
          </w:p>
        </w:tc>
        <w:tc>
          <w:tcPr>
            <w:tcW w:w="1842" w:type="dxa"/>
            <w:gridSpan w:val="2"/>
            <w:tcBorders>
              <w:top w:val="nil"/>
              <w:left w:val="nil"/>
              <w:bottom w:val="single" w:color="auto" w:sz="4" w:space="0"/>
              <w:right w:val="single" w:color="auto" w:sz="4" w:space="0"/>
            </w:tcBorders>
            <w:vAlign w:val="center"/>
          </w:tcPr>
          <w:p>
            <w:pPr>
              <w:widowControl/>
              <w:ind w:firstLine="360" w:firstLineChars="200"/>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37.78</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684" w:type="dxa"/>
            <w:gridSpan w:val="2"/>
            <w:tcBorders>
              <w:top w:val="nil"/>
              <w:left w:val="nil"/>
              <w:bottom w:val="single" w:color="auto" w:sz="4" w:space="0"/>
              <w:right w:val="single" w:color="auto" w:sz="4" w:space="0"/>
            </w:tcBorders>
            <w:vAlign w:val="center"/>
          </w:tcPr>
          <w:p>
            <w:pPr>
              <w:widowControl/>
              <w:ind w:firstLine="181" w:firstLineChars="100"/>
              <w:jc w:val="left"/>
              <w:rPr>
                <w:rFonts w:hint="eastAsia" w:asciiTheme="minorEastAsia" w:hAnsiTheme="minorEastAsia" w:eastAsiaTheme="minorEastAsia" w:cstheme="minorEastAsia"/>
                <w:b/>
                <w:bCs/>
                <w:color w:val="auto"/>
                <w:kern w:val="0"/>
                <w:sz w:val="18"/>
                <w:szCs w:val="18"/>
                <w:highlight w:val="none"/>
                <w:lang w:eastAsia="zh-CN"/>
              </w:rPr>
            </w:pPr>
            <w:r>
              <w:rPr>
                <w:rFonts w:hint="eastAsia" w:asciiTheme="minorEastAsia" w:hAnsiTheme="minorEastAsia" w:eastAsiaTheme="minorEastAsia" w:cstheme="minorEastAsia"/>
                <w:b/>
                <w:bCs/>
                <w:color w:val="auto"/>
                <w:kern w:val="0"/>
                <w:sz w:val="18"/>
                <w:szCs w:val="18"/>
                <w:highlight w:val="none"/>
                <w:lang w:val="en-US" w:eastAsia="zh-CN"/>
              </w:rPr>
              <w:t>4824.6</w:t>
            </w:r>
          </w:p>
        </w:tc>
        <w:tc>
          <w:tcPr>
            <w:tcW w:w="1842" w:type="dxa"/>
            <w:gridSpan w:val="2"/>
            <w:tcBorders>
              <w:top w:val="nil"/>
              <w:left w:val="nil"/>
              <w:bottom w:val="single" w:color="auto" w:sz="4" w:space="0"/>
              <w:right w:val="single" w:color="auto" w:sz="4" w:space="0"/>
            </w:tcBorders>
            <w:vAlign w:val="center"/>
          </w:tcPr>
          <w:p>
            <w:pPr>
              <w:widowControl/>
              <w:ind w:firstLine="181" w:firstLineChars="100"/>
              <w:jc w:val="left"/>
              <w:rPr>
                <w:rFonts w:hint="eastAsia" w:asciiTheme="minorEastAsia" w:hAnsiTheme="minorEastAsia" w:eastAsiaTheme="minorEastAsia" w:cstheme="minorEastAsia"/>
                <w:b/>
                <w:bCs/>
                <w:color w:val="auto"/>
                <w:kern w:val="0"/>
                <w:sz w:val="18"/>
                <w:szCs w:val="18"/>
                <w:highlight w:val="none"/>
              </w:rPr>
            </w:pPr>
            <w:r>
              <w:rPr>
                <w:rFonts w:hint="eastAsia" w:asciiTheme="minorEastAsia" w:hAnsiTheme="minorEastAsia" w:eastAsiaTheme="minorEastAsia" w:cstheme="minorEastAsia"/>
                <w:b/>
                <w:bCs/>
                <w:color w:val="auto"/>
                <w:kern w:val="0"/>
                <w:sz w:val="18"/>
                <w:szCs w:val="18"/>
                <w:highlight w:val="none"/>
              </w:rPr>
              <w:t>457.32</w:t>
            </w:r>
          </w:p>
        </w:tc>
        <w:tc>
          <w:tcPr>
            <w:tcW w:w="1701" w:type="dxa"/>
            <w:tcBorders>
              <w:top w:val="nil"/>
              <w:left w:val="nil"/>
              <w:bottom w:val="single" w:color="auto" w:sz="4" w:space="0"/>
              <w:right w:val="single" w:color="auto" w:sz="4" w:space="0"/>
            </w:tcBorders>
            <w:vAlign w:val="center"/>
          </w:tcPr>
          <w:p>
            <w:pPr>
              <w:widowControl/>
              <w:ind w:firstLine="181" w:firstLineChars="100"/>
              <w:jc w:val="left"/>
              <w:rPr>
                <w:rFonts w:hint="eastAsia" w:asciiTheme="minorEastAsia" w:hAnsiTheme="minorEastAsia" w:eastAsiaTheme="minorEastAsia" w:cstheme="minorEastAsia"/>
                <w:b/>
                <w:bCs/>
                <w:color w:val="auto"/>
                <w:kern w:val="0"/>
                <w:sz w:val="18"/>
                <w:szCs w:val="18"/>
                <w:highlight w:val="none"/>
                <w:lang w:eastAsia="zh-CN"/>
              </w:rPr>
            </w:pPr>
            <w:r>
              <w:rPr>
                <w:rFonts w:hint="eastAsia" w:asciiTheme="minorEastAsia" w:hAnsiTheme="minorEastAsia" w:eastAsiaTheme="minorEastAsia" w:cstheme="minorEastAsia"/>
                <w:b/>
                <w:bCs/>
                <w:color w:val="auto"/>
                <w:kern w:val="0"/>
                <w:sz w:val="18"/>
                <w:szCs w:val="18"/>
                <w:highlight w:val="none"/>
                <w:lang w:val="en-US" w:eastAsia="zh-CN"/>
              </w:rPr>
              <w:t>4367.28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编制单位：呼图县交通运输局</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433.75</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433.75</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基本工资</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107.70</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107.70</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津贴补贴</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98.54</w:t>
            </w:r>
          </w:p>
        </w:tc>
        <w:tc>
          <w:tcPr>
            <w:tcW w:w="1701" w:type="dxa"/>
            <w:gridSpan w:val="2"/>
            <w:tcBorders>
              <w:top w:val="nil"/>
              <w:left w:val="nil"/>
              <w:bottom w:val="single" w:color="auto" w:sz="4" w:space="0"/>
              <w:right w:val="single" w:color="auto" w:sz="4" w:space="0"/>
            </w:tcBorders>
            <w:vAlign w:val="center"/>
          </w:tcPr>
          <w:p>
            <w:pPr>
              <w:widowControl/>
              <w:ind w:right="147" w:rightChars="7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98.54</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奖金</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93.12</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　93.12</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绩效工资</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15.47</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　15.47</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45.30</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45.30</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职工基本医疗保险缴费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22.65</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22.65</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公务员医疗补助缴费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6.23</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6.23</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其他社会保障缴费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1.59</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1.59</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住房公积金</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37.78</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37.78</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其他工资福利支出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5.38</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5.38</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商品和服务支出</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19.98</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19.98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办公费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2.14</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2.14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06</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电费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1.32</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1.32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邮电费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1.47</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1.47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 xml:space="preserve">  取暖费</w:t>
            </w:r>
          </w:p>
        </w:tc>
        <w:tc>
          <w:tcPr>
            <w:tcW w:w="1701"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0.76</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0.76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差旅费</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 xml:space="preserve">  </w:t>
            </w:r>
            <w:r>
              <w:rPr>
                <w:rFonts w:hint="eastAsia" w:ascii="仿宋_GB2312" w:hAnsi="仿宋_GB2312" w:eastAsia="仿宋_GB2312" w:cs="仿宋_GB2312"/>
                <w:color w:val="auto"/>
                <w:kern w:val="0"/>
                <w:sz w:val="18"/>
                <w:szCs w:val="18"/>
                <w:highlight w:val="none"/>
              </w:rPr>
              <w:t>0.81</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0.81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工会经费</w:t>
            </w:r>
          </w:p>
        </w:tc>
        <w:tc>
          <w:tcPr>
            <w:tcW w:w="1701"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5.48</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5.48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公务用车运行维护费</w:t>
            </w:r>
          </w:p>
        </w:tc>
        <w:tc>
          <w:tcPr>
            <w:tcW w:w="1701"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8.00</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 xml:space="preserve">  8.00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w:t>
            </w:r>
            <w:r>
              <w:rPr>
                <w:rFonts w:hint="eastAsia" w:ascii="仿宋_GB2312" w:hAnsi="仿宋_GB2312" w:eastAsia="仿宋_GB2312" w:cs="仿宋_GB2312"/>
                <w:color w:val="auto"/>
                <w:kern w:val="0"/>
                <w:sz w:val="18"/>
                <w:szCs w:val="18"/>
                <w:highlight w:val="none"/>
                <w:lang w:val="en-US" w:eastAsia="zh-CN"/>
              </w:rPr>
              <w:t>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  3.58</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 3.58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w:t>
            </w:r>
            <w:r>
              <w:rPr>
                <w:rFonts w:hint="eastAsia" w:ascii="仿宋_GB2312" w:hAnsi="仿宋_GB2312" w:eastAsia="仿宋_GB2312" w:cs="仿宋_GB2312"/>
                <w:color w:val="auto"/>
                <w:kern w:val="0"/>
                <w:sz w:val="18"/>
                <w:szCs w:val="18"/>
                <w:highlight w:val="none"/>
                <w:lang w:val="en-US" w:eastAsia="zh-CN"/>
              </w:rPr>
              <w:t>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  退休费</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  3.29</w:t>
            </w:r>
          </w:p>
        </w:tc>
        <w:tc>
          <w:tcPr>
            <w:tcW w:w="1701" w:type="dxa"/>
            <w:gridSpan w:val="2"/>
            <w:tcBorders>
              <w:top w:val="nil"/>
              <w:left w:val="nil"/>
              <w:bottom w:val="single" w:color="auto" w:sz="4" w:space="0"/>
              <w:right w:val="single" w:color="auto" w:sz="4" w:space="0"/>
            </w:tcBorders>
            <w:vAlign w:val="center"/>
          </w:tcPr>
          <w:p>
            <w:pPr>
              <w:widowControl/>
              <w:ind w:firstLine="180" w:firstLineChars="1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3.29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w:t>
            </w:r>
            <w:r>
              <w:rPr>
                <w:rFonts w:hint="eastAsia" w:ascii="仿宋_GB2312" w:hAnsi="仿宋_GB2312" w:eastAsia="仿宋_GB2312" w:cs="仿宋_GB2312"/>
                <w:color w:val="auto"/>
                <w:kern w:val="0"/>
                <w:sz w:val="18"/>
                <w:szCs w:val="18"/>
                <w:highlight w:val="none"/>
                <w:lang w:val="en-US" w:eastAsia="zh-CN"/>
              </w:rPr>
              <w:t>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奖励金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0.29</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0.29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457.32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437.34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19.98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10046" w:type="dxa"/>
        <w:tblInd w:w="-435" w:type="dxa"/>
        <w:tblLayout w:type="fixed"/>
        <w:tblCellMar>
          <w:top w:w="0" w:type="dxa"/>
          <w:left w:w="108" w:type="dxa"/>
          <w:bottom w:w="0" w:type="dxa"/>
          <w:right w:w="108" w:type="dxa"/>
        </w:tblCellMar>
      </w:tblPr>
      <w:tblGrid>
        <w:gridCol w:w="585"/>
        <w:gridCol w:w="480"/>
        <w:gridCol w:w="435"/>
        <w:gridCol w:w="750"/>
        <w:gridCol w:w="1230"/>
        <w:gridCol w:w="825"/>
        <w:gridCol w:w="360"/>
        <w:gridCol w:w="870"/>
        <w:gridCol w:w="481"/>
        <w:gridCol w:w="554"/>
        <w:gridCol w:w="489"/>
        <w:gridCol w:w="951"/>
        <w:gridCol w:w="345"/>
        <w:gridCol w:w="855"/>
        <w:gridCol w:w="328"/>
        <w:gridCol w:w="508"/>
      </w:tblGrid>
      <w:tr>
        <w:tblPrEx>
          <w:tblLayout w:type="fixed"/>
          <w:tblCellMar>
            <w:top w:w="0" w:type="dxa"/>
            <w:left w:w="108" w:type="dxa"/>
            <w:bottom w:w="0" w:type="dxa"/>
            <w:right w:w="108" w:type="dxa"/>
          </w:tblCellMar>
        </w:tblPrEx>
        <w:trPr>
          <w:gridAfter w:val="1"/>
          <w:wAfter w:w="508" w:type="dxa"/>
          <w:trHeight w:val="375" w:hRule="atLeast"/>
        </w:trPr>
        <w:tc>
          <w:tcPr>
            <w:tcW w:w="9538" w:type="dxa"/>
            <w:gridSpan w:val="15"/>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After w:val="1"/>
          <w:wAfter w:w="508" w:type="dxa"/>
          <w:trHeight w:val="405" w:hRule="atLeast"/>
        </w:trPr>
        <w:tc>
          <w:tcPr>
            <w:tcW w:w="4305"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编制单位：呼图县交通运输局</w:t>
            </w:r>
          </w:p>
        </w:tc>
        <w:tc>
          <w:tcPr>
            <w:tcW w:w="123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524"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4"/>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500" w:type="dxa"/>
            <w:gridSpan w:val="3"/>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50"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3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6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7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8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5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8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95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34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85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2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0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85"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8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35"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50" w:type="dxa"/>
            <w:vMerge w:val="continue"/>
            <w:tcBorders>
              <w:bottom w:val="single" w:color="auto" w:sz="4" w:space="0"/>
            </w:tcBorders>
            <w:vAlign w:val="center"/>
          </w:tcPr>
          <w:p>
            <w:pPr>
              <w:widowControl/>
              <w:jc w:val="left"/>
              <w:outlineLvl w:val="9"/>
              <w:rPr>
                <w:rFonts w:ascii="仿宋_GB2312" w:hAnsi="宋体" w:eastAsia="仿宋_GB2312"/>
                <w:b/>
                <w:color w:val="auto"/>
                <w:kern w:val="0"/>
                <w:sz w:val="20"/>
                <w:szCs w:val="20"/>
                <w:highlight w:val="none"/>
              </w:rPr>
            </w:pPr>
          </w:p>
        </w:tc>
        <w:tc>
          <w:tcPr>
            <w:tcW w:w="1230"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825"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360"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870"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481"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554"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489"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951"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345"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855"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328"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508"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214　</w:t>
            </w:r>
          </w:p>
        </w:tc>
        <w:tc>
          <w:tcPr>
            <w:tcW w:w="48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5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公路水路运输</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3193.28</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284.00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2909.28</w:t>
            </w:r>
          </w:p>
        </w:tc>
        <w:tc>
          <w:tcPr>
            <w:tcW w:w="34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214</w:t>
            </w:r>
          </w:p>
        </w:tc>
        <w:tc>
          <w:tcPr>
            <w:tcW w:w="480" w:type="dxa"/>
            <w:vAlign w:val="top"/>
          </w:tcPr>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01</w:t>
            </w:r>
          </w:p>
        </w:tc>
        <w:tc>
          <w:tcPr>
            <w:tcW w:w="43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公路建设</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2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3193.28</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284.00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2909.28</w:t>
            </w:r>
          </w:p>
        </w:tc>
        <w:tc>
          <w:tcPr>
            <w:tcW w:w="34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214</w:t>
            </w:r>
            <w:r>
              <w:rPr>
                <w:rFonts w:hint="eastAsia" w:ascii="仿宋_GB2312" w:hAnsi="宋体" w:eastAsia="仿宋_GB2312"/>
                <w:color w:val="auto"/>
                <w:kern w:val="0"/>
                <w:sz w:val="18"/>
                <w:szCs w:val="18"/>
                <w:highlight w:val="none"/>
              </w:rPr>
              <w:t>　</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r>
              <w:rPr>
                <w:rFonts w:hint="eastAsia" w:ascii="仿宋_GB2312" w:hAnsi="宋体" w:eastAsia="仿宋_GB2312"/>
                <w:color w:val="auto"/>
                <w:kern w:val="0"/>
                <w:sz w:val="18"/>
                <w:szCs w:val="18"/>
                <w:highlight w:val="none"/>
              </w:rPr>
              <w:t>　</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04</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公路建设</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2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2465.44</w:t>
            </w:r>
            <w:r>
              <w:rPr>
                <w:rFonts w:hint="eastAsia" w:ascii="仿宋_GB2312" w:hAnsi="宋体" w:eastAsia="仿宋_GB2312"/>
                <w:color w:val="auto"/>
                <w:kern w:val="0"/>
                <w:sz w:val="18"/>
                <w:szCs w:val="18"/>
                <w:highlight w:val="none"/>
              </w:rPr>
              <w:t>　</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2465.44</w:t>
            </w:r>
            <w:r>
              <w:rPr>
                <w:rFonts w:hint="eastAsia" w:ascii="仿宋_GB2312" w:hAnsi="宋体" w:eastAsia="仿宋_GB2312"/>
                <w:color w:val="auto"/>
                <w:kern w:val="0"/>
                <w:sz w:val="18"/>
                <w:szCs w:val="18"/>
                <w:highlight w:val="none"/>
              </w:rPr>
              <w:t>　</w:t>
            </w:r>
          </w:p>
        </w:tc>
        <w:tc>
          <w:tcPr>
            <w:tcW w:w="34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214</w:t>
            </w:r>
            <w:r>
              <w:rPr>
                <w:rFonts w:hint="eastAsia" w:ascii="仿宋_GB2312" w:hAnsi="宋体" w:eastAsia="仿宋_GB2312"/>
                <w:color w:val="auto"/>
                <w:kern w:val="0"/>
                <w:sz w:val="18"/>
                <w:szCs w:val="18"/>
                <w:highlight w:val="none"/>
              </w:rPr>
              <w:t>　</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01</w:t>
            </w:r>
            <w:r>
              <w:rPr>
                <w:rFonts w:hint="eastAsia" w:ascii="仿宋_GB2312" w:hAnsi="宋体" w:eastAsia="仿宋_GB2312"/>
                <w:color w:val="auto"/>
                <w:kern w:val="0"/>
                <w:sz w:val="18"/>
                <w:szCs w:val="18"/>
                <w:highlight w:val="none"/>
              </w:rPr>
              <w:t>　</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04</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公路建设</w:t>
            </w:r>
          </w:p>
        </w:tc>
        <w:tc>
          <w:tcPr>
            <w:tcW w:w="123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2024年车辆购置税收入补助地方（第一批）用于普通省道及农村公路建设“以奖代补”资金</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2465.44</w:t>
            </w:r>
          </w:p>
        </w:tc>
        <w:tc>
          <w:tcPr>
            <w:tcW w:w="360" w:type="dxa"/>
            <w:vAlign w:val="top"/>
          </w:tcPr>
          <w:p>
            <w:pPr>
              <w:widowControl/>
              <w:jc w:val="left"/>
              <w:outlineLvl w:val="9"/>
              <w:rPr>
                <w:rFonts w:hint="eastAsia" w:ascii="仿宋_GB2312" w:hAnsi="宋体" w:eastAsia="仿宋_GB2312"/>
                <w:color w:val="auto"/>
                <w:kern w:val="0"/>
                <w:sz w:val="18"/>
                <w:szCs w:val="18"/>
                <w:highlight w:val="none"/>
              </w:rPr>
            </w:pPr>
          </w:p>
        </w:tc>
        <w:tc>
          <w:tcPr>
            <w:tcW w:w="870" w:type="dxa"/>
            <w:vAlign w:val="top"/>
          </w:tcPr>
          <w:p>
            <w:pPr>
              <w:widowControl/>
              <w:jc w:val="left"/>
              <w:outlineLvl w:val="9"/>
              <w:rPr>
                <w:rFonts w:hint="eastAsia" w:ascii="仿宋_GB2312" w:hAnsi="宋体" w:eastAsia="仿宋_GB2312"/>
                <w:color w:val="auto"/>
                <w:kern w:val="0"/>
                <w:sz w:val="18"/>
                <w:szCs w:val="18"/>
                <w:highlight w:val="none"/>
              </w:rPr>
            </w:pPr>
          </w:p>
        </w:tc>
        <w:tc>
          <w:tcPr>
            <w:tcW w:w="481" w:type="dxa"/>
            <w:vAlign w:val="top"/>
          </w:tcPr>
          <w:p>
            <w:pPr>
              <w:widowControl/>
              <w:jc w:val="left"/>
              <w:outlineLvl w:val="9"/>
              <w:rPr>
                <w:rFonts w:hint="eastAsia" w:ascii="仿宋_GB2312" w:hAnsi="宋体" w:eastAsia="仿宋_GB2312"/>
                <w:color w:val="auto"/>
                <w:kern w:val="0"/>
                <w:sz w:val="18"/>
                <w:szCs w:val="18"/>
                <w:highlight w:val="none"/>
              </w:rPr>
            </w:pPr>
          </w:p>
        </w:tc>
        <w:tc>
          <w:tcPr>
            <w:tcW w:w="554" w:type="dxa"/>
            <w:vAlign w:val="top"/>
          </w:tcPr>
          <w:p>
            <w:pPr>
              <w:widowControl/>
              <w:jc w:val="left"/>
              <w:outlineLvl w:val="9"/>
              <w:rPr>
                <w:rFonts w:hint="eastAsia" w:ascii="仿宋_GB2312" w:hAnsi="宋体" w:eastAsia="仿宋_GB2312"/>
                <w:color w:val="auto"/>
                <w:kern w:val="0"/>
                <w:sz w:val="18"/>
                <w:szCs w:val="18"/>
                <w:highlight w:val="none"/>
              </w:rPr>
            </w:pPr>
          </w:p>
        </w:tc>
        <w:tc>
          <w:tcPr>
            <w:tcW w:w="489" w:type="dxa"/>
            <w:vAlign w:val="top"/>
          </w:tcPr>
          <w:p>
            <w:pPr>
              <w:widowControl/>
              <w:jc w:val="left"/>
              <w:outlineLvl w:val="9"/>
              <w:rPr>
                <w:rFonts w:hint="eastAsia" w:ascii="仿宋_GB2312" w:hAnsi="宋体" w:eastAsia="仿宋_GB2312"/>
                <w:color w:val="auto"/>
                <w:kern w:val="0"/>
                <w:sz w:val="18"/>
                <w:szCs w:val="18"/>
                <w:highlight w:val="none"/>
              </w:rPr>
            </w:pPr>
          </w:p>
        </w:tc>
        <w:tc>
          <w:tcPr>
            <w:tcW w:w="951"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2465.44</w:t>
            </w:r>
          </w:p>
        </w:tc>
        <w:tc>
          <w:tcPr>
            <w:tcW w:w="345" w:type="dxa"/>
            <w:vAlign w:val="top"/>
          </w:tcPr>
          <w:p>
            <w:pPr>
              <w:widowControl/>
              <w:jc w:val="left"/>
              <w:outlineLvl w:val="9"/>
              <w:rPr>
                <w:rFonts w:hint="eastAsia"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tc>
        <w:tc>
          <w:tcPr>
            <w:tcW w:w="328" w:type="dxa"/>
            <w:vAlign w:val="top"/>
          </w:tcPr>
          <w:p>
            <w:pPr>
              <w:widowControl/>
              <w:jc w:val="left"/>
              <w:outlineLvl w:val="9"/>
              <w:rPr>
                <w:rFonts w:hint="eastAsia" w:ascii="仿宋_GB2312" w:hAnsi="宋体" w:eastAsia="仿宋_GB2312"/>
                <w:color w:val="auto"/>
                <w:kern w:val="0"/>
                <w:sz w:val="18"/>
                <w:szCs w:val="18"/>
                <w:highlight w:val="none"/>
              </w:rPr>
            </w:pPr>
          </w:p>
        </w:tc>
        <w:tc>
          <w:tcPr>
            <w:tcW w:w="508" w:type="dxa"/>
            <w:vAlign w:val="top"/>
          </w:tcPr>
          <w:p>
            <w:pPr>
              <w:widowControl/>
              <w:jc w:val="left"/>
              <w:outlineLvl w:val="9"/>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214</w:t>
            </w:r>
          </w:p>
        </w:tc>
        <w:tc>
          <w:tcPr>
            <w:tcW w:w="480" w:type="dxa"/>
            <w:vAlign w:val="top"/>
          </w:tcPr>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01</w:t>
            </w:r>
          </w:p>
        </w:tc>
        <w:tc>
          <w:tcPr>
            <w:tcW w:w="435" w:type="dxa"/>
            <w:vAlign w:val="top"/>
          </w:tcPr>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06</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公路养护</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2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585.84　</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284.00</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301.84</w:t>
            </w: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214</w:t>
            </w:r>
          </w:p>
        </w:tc>
        <w:tc>
          <w:tcPr>
            <w:tcW w:w="48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01</w:t>
            </w:r>
          </w:p>
        </w:tc>
        <w:tc>
          <w:tcPr>
            <w:tcW w:w="43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06</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公路养护</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2024年政府还贷二级公路取消收费后补助资金用于农村公路养护大中修　</w:t>
            </w:r>
          </w:p>
        </w:tc>
        <w:tc>
          <w:tcPr>
            <w:tcW w:w="82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183.84</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183.84</w:t>
            </w:r>
          </w:p>
        </w:tc>
        <w:tc>
          <w:tcPr>
            <w:tcW w:w="345"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214</w:t>
            </w:r>
          </w:p>
        </w:tc>
        <w:tc>
          <w:tcPr>
            <w:tcW w:w="48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01</w:t>
            </w:r>
          </w:p>
        </w:tc>
        <w:tc>
          <w:tcPr>
            <w:tcW w:w="43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06</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公路养护</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2024年中央对地方成品油税费改革转移支付资金用于农村公路养护</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134.00</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134.00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214</w:t>
            </w:r>
          </w:p>
        </w:tc>
        <w:tc>
          <w:tcPr>
            <w:tcW w:w="48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01</w:t>
            </w:r>
          </w:p>
        </w:tc>
        <w:tc>
          <w:tcPr>
            <w:tcW w:w="43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06</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公路养护</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农村公路养护管理费（县级配套）项目（非定额）　</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268.00　</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150.00</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118.00</w:t>
            </w: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215</w:t>
            </w:r>
          </w:p>
        </w:tc>
        <w:tc>
          <w:tcPr>
            <w:tcW w:w="480" w:type="dxa"/>
            <w:vAlign w:val="top"/>
          </w:tcPr>
          <w:p>
            <w:pPr>
              <w:widowControl/>
              <w:jc w:val="left"/>
              <w:outlineLvl w:val="9"/>
              <w:rPr>
                <w:rFonts w:ascii="仿宋_GB2312" w:hAnsi="宋体" w:eastAsia="仿宋_GB2312"/>
                <w:color w:val="auto"/>
                <w:kern w:val="0"/>
                <w:sz w:val="18"/>
                <w:szCs w:val="18"/>
                <w:highlight w:val="none"/>
              </w:rPr>
            </w:pPr>
          </w:p>
        </w:tc>
        <w:tc>
          <w:tcPr>
            <w:tcW w:w="435" w:type="dxa"/>
            <w:vAlign w:val="top"/>
          </w:tcPr>
          <w:p>
            <w:pPr>
              <w:widowControl/>
              <w:jc w:val="left"/>
              <w:outlineLvl w:val="9"/>
              <w:rPr>
                <w:rFonts w:ascii="仿宋_GB2312" w:hAnsi="宋体" w:eastAsia="仿宋_GB2312"/>
                <w:color w:val="auto"/>
                <w:kern w:val="0"/>
                <w:sz w:val="18"/>
                <w:szCs w:val="18"/>
                <w:highlight w:val="none"/>
              </w:rPr>
            </w:pPr>
          </w:p>
        </w:tc>
        <w:tc>
          <w:tcPr>
            <w:tcW w:w="75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资源勘探工业信息等支出</w:t>
            </w:r>
          </w:p>
        </w:tc>
        <w:tc>
          <w:tcPr>
            <w:tcW w:w="1230" w:type="dxa"/>
            <w:vAlign w:val="top"/>
          </w:tcPr>
          <w:p>
            <w:pPr>
              <w:widowControl/>
              <w:jc w:val="left"/>
              <w:outlineLvl w:val="9"/>
              <w:rPr>
                <w:rFonts w:ascii="仿宋_GB2312" w:hAnsi="宋体" w:eastAsia="仿宋_GB2312"/>
                <w:color w:val="auto"/>
                <w:kern w:val="0"/>
                <w:sz w:val="18"/>
                <w:szCs w:val="18"/>
                <w:highlight w:val="none"/>
              </w:rPr>
            </w:pP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1316.00</w:t>
            </w:r>
          </w:p>
        </w:tc>
        <w:tc>
          <w:tcPr>
            <w:tcW w:w="360" w:type="dxa"/>
            <w:vAlign w:val="top"/>
          </w:tcPr>
          <w:p>
            <w:pPr>
              <w:widowControl/>
              <w:jc w:val="left"/>
              <w:outlineLvl w:val="9"/>
              <w:rPr>
                <w:rFonts w:ascii="仿宋_GB2312" w:hAnsi="宋体" w:eastAsia="仿宋_GB2312"/>
                <w:color w:val="auto"/>
                <w:kern w:val="0"/>
                <w:sz w:val="18"/>
                <w:szCs w:val="18"/>
                <w:highlight w:val="none"/>
              </w:rPr>
            </w:pPr>
          </w:p>
        </w:tc>
        <w:tc>
          <w:tcPr>
            <w:tcW w:w="870" w:type="dxa"/>
            <w:vAlign w:val="top"/>
          </w:tcPr>
          <w:p>
            <w:pPr>
              <w:widowControl/>
              <w:jc w:val="left"/>
              <w:outlineLvl w:val="9"/>
              <w:rPr>
                <w:rFonts w:ascii="仿宋_GB2312" w:hAnsi="宋体" w:eastAsia="仿宋_GB2312"/>
                <w:color w:val="auto"/>
                <w:kern w:val="0"/>
                <w:sz w:val="18"/>
                <w:szCs w:val="18"/>
                <w:highlight w:val="none"/>
              </w:rPr>
            </w:pPr>
          </w:p>
        </w:tc>
        <w:tc>
          <w:tcPr>
            <w:tcW w:w="481" w:type="dxa"/>
            <w:vAlign w:val="top"/>
          </w:tcPr>
          <w:p>
            <w:pPr>
              <w:widowControl/>
              <w:jc w:val="left"/>
              <w:outlineLvl w:val="9"/>
              <w:rPr>
                <w:rFonts w:ascii="仿宋_GB2312" w:hAnsi="宋体" w:eastAsia="仿宋_GB2312"/>
                <w:color w:val="auto"/>
                <w:kern w:val="0"/>
                <w:sz w:val="18"/>
                <w:szCs w:val="18"/>
                <w:highlight w:val="none"/>
              </w:rPr>
            </w:pPr>
          </w:p>
        </w:tc>
        <w:tc>
          <w:tcPr>
            <w:tcW w:w="554" w:type="dxa"/>
            <w:vAlign w:val="top"/>
          </w:tcPr>
          <w:p>
            <w:pPr>
              <w:widowControl/>
              <w:jc w:val="left"/>
              <w:outlineLvl w:val="9"/>
              <w:rPr>
                <w:rFonts w:ascii="仿宋_GB2312" w:hAnsi="宋体" w:eastAsia="仿宋_GB2312"/>
                <w:color w:val="auto"/>
                <w:kern w:val="0"/>
                <w:sz w:val="18"/>
                <w:szCs w:val="18"/>
                <w:highlight w:val="none"/>
              </w:rPr>
            </w:pPr>
          </w:p>
        </w:tc>
        <w:tc>
          <w:tcPr>
            <w:tcW w:w="489" w:type="dxa"/>
            <w:vAlign w:val="top"/>
          </w:tcPr>
          <w:p>
            <w:pPr>
              <w:widowControl/>
              <w:jc w:val="left"/>
              <w:outlineLvl w:val="9"/>
              <w:rPr>
                <w:rFonts w:ascii="仿宋_GB2312" w:hAnsi="宋体" w:eastAsia="仿宋_GB2312"/>
                <w:color w:val="auto"/>
                <w:kern w:val="0"/>
                <w:sz w:val="18"/>
                <w:szCs w:val="18"/>
                <w:highlight w:val="none"/>
              </w:rPr>
            </w:pPr>
          </w:p>
        </w:tc>
        <w:tc>
          <w:tcPr>
            <w:tcW w:w="951" w:type="dxa"/>
            <w:vAlign w:val="top"/>
          </w:tcPr>
          <w:p>
            <w:pPr>
              <w:widowControl/>
              <w:jc w:val="left"/>
              <w:outlineLvl w:val="9"/>
              <w:rPr>
                <w:rFonts w:ascii="仿宋_GB2312" w:hAnsi="宋体" w:eastAsia="仿宋_GB2312"/>
                <w:color w:val="auto"/>
                <w:kern w:val="0"/>
                <w:sz w:val="18"/>
                <w:szCs w:val="18"/>
                <w:highlight w:val="none"/>
              </w:rPr>
            </w:pP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1316.00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ascii="仿宋_GB2312" w:hAnsi="宋体" w:eastAsia="仿宋_GB2312"/>
                <w:color w:val="auto"/>
                <w:kern w:val="0"/>
                <w:sz w:val="18"/>
                <w:szCs w:val="18"/>
                <w:highlight w:val="none"/>
              </w:rPr>
            </w:pPr>
          </w:p>
        </w:tc>
        <w:tc>
          <w:tcPr>
            <w:tcW w:w="75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支持中小企业发展和管理支出</w:t>
            </w:r>
          </w:p>
        </w:tc>
        <w:tc>
          <w:tcPr>
            <w:tcW w:w="1230" w:type="dxa"/>
            <w:vAlign w:val="top"/>
          </w:tcPr>
          <w:p>
            <w:pPr>
              <w:widowControl/>
              <w:jc w:val="left"/>
              <w:outlineLvl w:val="9"/>
              <w:rPr>
                <w:rFonts w:ascii="仿宋_GB2312" w:hAnsi="宋体" w:eastAsia="仿宋_GB2312"/>
                <w:color w:val="auto"/>
                <w:kern w:val="0"/>
                <w:sz w:val="18"/>
                <w:szCs w:val="18"/>
                <w:highlight w:val="none"/>
              </w:rPr>
            </w:pP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1316.00</w:t>
            </w:r>
          </w:p>
        </w:tc>
        <w:tc>
          <w:tcPr>
            <w:tcW w:w="360" w:type="dxa"/>
            <w:vAlign w:val="top"/>
          </w:tcPr>
          <w:p>
            <w:pPr>
              <w:widowControl/>
              <w:jc w:val="left"/>
              <w:outlineLvl w:val="9"/>
              <w:rPr>
                <w:rFonts w:ascii="仿宋_GB2312" w:hAnsi="宋体" w:eastAsia="仿宋_GB2312"/>
                <w:color w:val="auto"/>
                <w:kern w:val="0"/>
                <w:sz w:val="18"/>
                <w:szCs w:val="18"/>
                <w:highlight w:val="none"/>
              </w:rPr>
            </w:pPr>
          </w:p>
        </w:tc>
        <w:tc>
          <w:tcPr>
            <w:tcW w:w="870" w:type="dxa"/>
            <w:vAlign w:val="top"/>
          </w:tcPr>
          <w:p>
            <w:pPr>
              <w:widowControl/>
              <w:jc w:val="left"/>
              <w:outlineLvl w:val="9"/>
              <w:rPr>
                <w:rFonts w:ascii="仿宋_GB2312" w:hAnsi="宋体" w:eastAsia="仿宋_GB2312"/>
                <w:color w:val="auto"/>
                <w:kern w:val="0"/>
                <w:sz w:val="18"/>
                <w:szCs w:val="18"/>
                <w:highlight w:val="none"/>
              </w:rPr>
            </w:pPr>
          </w:p>
        </w:tc>
        <w:tc>
          <w:tcPr>
            <w:tcW w:w="481" w:type="dxa"/>
            <w:vAlign w:val="top"/>
          </w:tcPr>
          <w:p>
            <w:pPr>
              <w:widowControl/>
              <w:jc w:val="left"/>
              <w:outlineLvl w:val="9"/>
              <w:rPr>
                <w:rFonts w:ascii="仿宋_GB2312" w:hAnsi="宋体" w:eastAsia="仿宋_GB2312"/>
                <w:color w:val="auto"/>
                <w:kern w:val="0"/>
                <w:sz w:val="18"/>
                <w:szCs w:val="18"/>
                <w:highlight w:val="none"/>
              </w:rPr>
            </w:pPr>
          </w:p>
        </w:tc>
        <w:tc>
          <w:tcPr>
            <w:tcW w:w="554" w:type="dxa"/>
            <w:vAlign w:val="top"/>
          </w:tcPr>
          <w:p>
            <w:pPr>
              <w:widowControl/>
              <w:jc w:val="left"/>
              <w:outlineLvl w:val="9"/>
              <w:rPr>
                <w:rFonts w:ascii="仿宋_GB2312" w:hAnsi="宋体" w:eastAsia="仿宋_GB2312"/>
                <w:color w:val="auto"/>
                <w:kern w:val="0"/>
                <w:sz w:val="18"/>
                <w:szCs w:val="18"/>
                <w:highlight w:val="none"/>
              </w:rPr>
            </w:pPr>
          </w:p>
        </w:tc>
        <w:tc>
          <w:tcPr>
            <w:tcW w:w="489" w:type="dxa"/>
            <w:vAlign w:val="top"/>
          </w:tcPr>
          <w:p>
            <w:pPr>
              <w:widowControl/>
              <w:jc w:val="left"/>
              <w:outlineLvl w:val="9"/>
              <w:rPr>
                <w:rFonts w:ascii="仿宋_GB2312" w:hAnsi="宋体" w:eastAsia="仿宋_GB2312"/>
                <w:color w:val="auto"/>
                <w:kern w:val="0"/>
                <w:sz w:val="18"/>
                <w:szCs w:val="18"/>
                <w:highlight w:val="none"/>
              </w:rPr>
            </w:pPr>
          </w:p>
        </w:tc>
        <w:tc>
          <w:tcPr>
            <w:tcW w:w="951" w:type="dxa"/>
            <w:vAlign w:val="top"/>
          </w:tcPr>
          <w:p>
            <w:pPr>
              <w:widowControl/>
              <w:jc w:val="left"/>
              <w:outlineLvl w:val="9"/>
              <w:rPr>
                <w:rFonts w:ascii="仿宋_GB2312" w:hAnsi="宋体" w:eastAsia="仿宋_GB2312"/>
                <w:color w:val="auto"/>
                <w:kern w:val="0"/>
                <w:sz w:val="18"/>
                <w:szCs w:val="18"/>
                <w:highlight w:val="none"/>
              </w:rPr>
            </w:pP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1316.00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75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其他支持中小企业发展和管理支出</w:t>
            </w:r>
          </w:p>
        </w:tc>
        <w:tc>
          <w:tcPr>
            <w:tcW w:w="1230" w:type="dxa"/>
            <w:vAlign w:val="top"/>
          </w:tcPr>
          <w:p>
            <w:pPr>
              <w:widowControl/>
              <w:jc w:val="left"/>
              <w:outlineLvl w:val="9"/>
              <w:rPr>
                <w:rFonts w:ascii="仿宋_GB2312" w:hAnsi="宋体" w:eastAsia="仿宋_GB2312"/>
                <w:color w:val="auto"/>
                <w:kern w:val="0"/>
                <w:sz w:val="18"/>
                <w:szCs w:val="18"/>
                <w:highlight w:val="none"/>
              </w:rPr>
            </w:pP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1316.00</w:t>
            </w:r>
          </w:p>
        </w:tc>
        <w:tc>
          <w:tcPr>
            <w:tcW w:w="36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87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481"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554"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489"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951"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345"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1316.00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99</w:t>
            </w:r>
          </w:p>
        </w:tc>
        <w:tc>
          <w:tcPr>
            <w:tcW w:w="75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其他支持中小企业发展和管理支出</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公交公司成本规制费项目（非定额）</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480.00</w:t>
            </w:r>
          </w:p>
        </w:tc>
        <w:tc>
          <w:tcPr>
            <w:tcW w:w="360" w:type="dxa"/>
            <w:vAlign w:val="top"/>
          </w:tcPr>
          <w:p>
            <w:pPr>
              <w:widowControl/>
              <w:jc w:val="left"/>
              <w:outlineLvl w:val="9"/>
              <w:rPr>
                <w:rFonts w:ascii="仿宋_GB2312" w:hAnsi="宋体" w:eastAsia="仿宋_GB2312"/>
                <w:color w:val="auto"/>
                <w:kern w:val="0"/>
                <w:sz w:val="18"/>
                <w:szCs w:val="18"/>
                <w:highlight w:val="none"/>
              </w:rPr>
            </w:pPr>
          </w:p>
        </w:tc>
        <w:tc>
          <w:tcPr>
            <w:tcW w:w="870" w:type="dxa"/>
            <w:vAlign w:val="top"/>
          </w:tcPr>
          <w:p>
            <w:pPr>
              <w:widowControl/>
              <w:jc w:val="left"/>
              <w:outlineLvl w:val="9"/>
              <w:rPr>
                <w:rFonts w:ascii="仿宋_GB2312" w:hAnsi="宋体" w:eastAsia="仿宋_GB2312"/>
                <w:color w:val="auto"/>
                <w:kern w:val="0"/>
                <w:sz w:val="18"/>
                <w:szCs w:val="18"/>
                <w:highlight w:val="none"/>
              </w:rPr>
            </w:pPr>
          </w:p>
        </w:tc>
        <w:tc>
          <w:tcPr>
            <w:tcW w:w="481" w:type="dxa"/>
            <w:vAlign w:val="top"/>
          </w:tcPr>
          <w:p>
            <w:pPr>
              <w:widowControl/>
              <w:jc w:val="left"/>
              <w:outlineLvl w:val="9"/>
              <w:rPr>
                <w:rFonts w:ascii="仿宋_GB2312" w:hAnsi="宋体" w:eastAsia="仿宋_GB2312"/>
                <w:color w:val="auto"/>
                <w:kern w:val="0"/>
                <w:sz w:val="18"/>
                <w:szCs w:val="18"/>
                <w:highlight w:val="none"/>
              </w:rPr>
            </w:pPr>
          </w:p>
        </w:tc>
        <w:tc>
          <w:tcPr>
            <w:tcW w:w="554" w:type="dxa"/>
            <w:vAlign w:val="top"/>
          </w:tcPr>
          <w:p>
            <w:pPr>
              <w:widowControl/>
              <w:jc w:val="left"/>
              <w:outlineLvl w:val="9"/>
              <w:rPr>
                <w:rFonts w:ascii="仿宋_GB2312" w:hAnsi="宋体" w:eastAsia="仿宋_GB2312"/>
                <w:color w:val="auto"/>
                <w:kern w:val="0"/>
                <w:sz w:val="18"/>
                <w:szCs w:val="18"/>
                <w:highlight w:val="none"/>
              </w:rPr>
            </w:pPr>
          </w:p>
        </w:tc>
        <w:tc>
          <w:tcPr>
            <w:tcW w:w="489" w:type="dxa"/>
            <w:vAlign w:val="top"/>
          </w:tcPr>
          <w:p>
            <w:pPr>
              <w:widowControl/>
              <w:jc w:val="left"/>
              <w:outlineLvl w:val="9"/>
              <w:rPr>
                <w:rFonts w:ascii="仿宋_GB2312" w:hAnsi="宋体" w:eastAsia="仿宋_GB2312"/>
                <w:color w:val="auto"/>
                <w:kern w:val="0"/>
                <w:sz w:val="18"/>
                <w:szCs w:val="18"/>
                <w:highlight w:val="none"/>
              </w:rPr>
            </w:pPr>
          </w:p>
        </w:tc>
        <w:tc>
          <w:tcPr>
            <w:tcW w:w="951" w:type="dxa"/>
            <w:vAlign w:val="top"/>
          </w:tcPr>
          <w:p>
            <w:pPr>
              <w:widowControl/>
              <w:jc w:val="left"/>
              <w:outlineLvl w:val="9"/>
              <w:rPr>
                <w:rFonts w:ascii="仿宋_GB2312" w:hAnsi="宋体" w:eastAsia="仿宋_GB2312"/>
                <w:color w:val="auto"/>
                <w:kern w:val="0"/>
                <w:sz w:val="18"/>
                <w:szCs w:val="18"/>
                <w:highlight w:val="none"/>
              </w:rPr>
            </w:pP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480.0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99</w:t>
            </w:r>
          </w:p>
        </w:tc>
        <w:tc>
          <w:tcPr>
            <w:tcW w:w="75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其他支持中小企业发展和管理支出</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2022年更新10辆新能源公交车（2024年分期支付车款）项目（非定额）</w:t>
            </w:r>
          </w:p>
        </w:tc>
        <w:tc>
          <w:tcPr>
            <w:tcW w:w="82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167.20</w:t>
            </w:r>
          </w:p>
        </w:tc>
        <w:tc>
          <w:tcPr>
            <w:tcW w:w="360" w:type="dxa"/>
            <w:vAlign w:val="top"/>
          </w:tcPr>
          <w:p>
            <w:pPr>
              <w:widowControl/>
              <w:jc w:val="left"/>
              <w:outlineLvl w:val="9"/>
              <w:rPr>
                <w:rFonts w:ascii="仿宋_GB2312" w:hAnsi="宋体" w:eastAsia="仿宋_GB2312"/>
                <w:color w:val="auto"/>
                <w:kern w:val="0"/>
                <w:sz w:val="18"/>
                <w:szCs w:val="18"/>
                <w:highlight w:val="none"/>
              </w:rPr>
            </w:pPr>
          </w:p>
        </w:tc>
        <w:tc>
          <w:tcPr>
            <w:tcW w:w="870" w:type="dxa"/>
            <w:vAlign w:val="top"/>
          </w:tcPr>
          <w:p>
            <w:pPr>
              <w:widowControl/>
              <w:jc w:val="left"/>
              <w:outlineLvl w:val="9"/>
              <w:rPr>
                <w:rFonts w:ascii="仿宋_GB2312" w:hAnsi="宋体" w:eastAsia="仿宋_GB2312"/>
                <w:color w:val="auto"/>
                <w:kern w:val="0"/>
                <w:sz w:val="18"/>
                <w:szCs w:val="18"/>
                <w:highlight w:val="none"/>
              </w:rPr>
            </w:pPr>
          </w:p>
        </w:tc>
        <w:tc>
          <w:tcPr>
            <w:tcW w:w="481" w:type="dxa"/>
            <w:vAlign w:val="top"/>
          </w:tcPr>
          <w:p>
            <w:pPr>
              <w:widowControl/>
              <w:jc w:val="left"/>
              <w:outlineLvl w:val="9"/>
              <w:rPr>
                <w:rFonts w:ascii="仿宋_GB2312" w:hAnsi="宋体" w:eastAsia="仿宋_GB2312"/>
                <w:color w:val="auto"/>
                <w:kern w:val="0"/>
                <w:sz w:val="18"/>
                <w:szCs w:val="18"/>
                <w:highlight w:val="none"/>
              </w:rPr>
            </w:pPr>
          </w:p>
        </w:tc>
        <w:tc>
          <w:tcPr>
            <w:tcW w:w="554" w:type="dxa"/>
            <w:vAlign w:val="top"/>
          </w:tcPr>
          <w:p>
            <w:pPr>
              <w:widowControl/>
              <w:jc w:val="left"/>
              <w:outlineLvl w:val="9"/>
              <w:rPr>
                <w:rFonts w:ascii="仿宋_GB2312" w:hAnsi="宋体" w:eastAsia="仿宋_GB2312"/>
                <w:color w:val="auto"/>
                <w:kern w:val="0"/>
                <w:sz w:val="18"/>
                <w:szCs w:val="18"/>
                <w:highlight w:val="none"/>
              </w:rPr>
            </w:pPr>
          </w:p>
        </w:tc>
        <w:tc>
          <w:tcPr>
            <w:tcW w:w="489" w:type="dxa"/>
            <w:vAlign w:val="top"/>
          </w:tcPr>
          <w:p>
            <w:pPr>
              <w:widowControl/>
              <w:jc w:val="left"/>
              <w:outlineLvl w:val="9"/>
              <w:rPr>
                <w:rFonts w:ascii="仿宋_GB2312" w:hAnsi="宋体" w:eastAsia="仿宋_GB2312"/>
                <w:color w:val="auto"/>
                <w:kern w:val="0"/>
                <w:sz w:val="18"/>
                <w:szCs w:val="18"/>
                <w:highlight w:val="none"/>
              </w:rPr>
            </w:pPr>
          </w:p>
        </w:tc>
        <w:tc>
          <w:tcPr>
            <w:tcW w:w="951" w:type="dxa"/>
            <w:vAlign w:val="top"/>
          </w:tcPr>
          <w:p>
            <w:pPr>
              <w:widowControl/>
              <w:jc w:val="left"/>
              <w:outlineLvl w:val="9"/>
              <w:rPr>
                <w:rFonts w:ascii="仿宋_GB2312" w:hAnsi="宋体" w:eastAsia="仿宋_GB2312"/>
                <w:color w:val="auto"/>
                <w:kern w:val="0"/>
                <w:sz w:val="18"/>
                <w:szCs w:val="18"/>
                <w:highlight w:val="none"/>
              </w:rPr>
            </w:pP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167.20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99</w:t>
            </w:r>
          </w:p>
        </w:tc>
        <w:tc>
          <w:tcPr>
            <w:tcW w:w="75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其他支持中小企业发展和管理支出</w:t>
            </w:r>
          </w:p>
        </w:tc>
        <w:tc>
          <w:tcPr>
            <w:tcW w:w="123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2023年更新10辆新能源公交车（2024年分期支付车款）项目（非定额）</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250.80</w:t>
            </w:r>
          </w:p>
        </w:tc>
        <w:tc>
          <w:tcPr>
            <w:tcW w:w="360" w:type="dxa"/>
            <w:vAlign w:val="top"/>
          </w:tcPr>
          <w:p>
            <w:pPr>
              <w:widowControl/>
              <w:jc w:val="left"/>
              <w:outlineLvl w:val="9"/>
              <w:rPr>
                <w:rFonts w:ascii="仿宋_GB2312" w:hAnsi="宋体" w:eastAsia="仿宋_GB2312"/>
                <w:color w:val="auto"/>
                <w:kern w:val="0"/>
                <w:sz w:val="18"/>
                <w:szCs w:val="18"/>
                <w:highlight w:val="none"/>
              </w:rPr>
            </w:pPr>
          </w:p>
        </w:tc>
        <w:tc>
          <w:tcPr>
            <w:tcW w:w="870" w:type="dxa"/>
            <w:vAlign w:val="top"/>
          </w:tcPr>
          <w:p>
            <w:pPr>
              <w:widowControl/>
              <w:jc w:val="left"/>
              <w:outlineLvl w:val="9"/>
              <w:rPr>
                <w:rFonts w:ascii="仿宋_GB2312" w:hAnsi="宋体" w:eastAsia="仿宋_GB2312"/>
                <w:color w:val="auto"/>
                <w:kern w:val="0"/>
                <w:sz w:val="18"/>
                <w:szCs w:val="18"/>
                <w:highlight w:val="none"/>
              </w:rPr>
            </w:pPr>
          </w:p>
        </w:tc>
        <w:tc>
          <w:tcPr>
            <w:tcW w:w="481" w:type="dxa"/>
            <w:vAlign w:val="top"/>
          </w:tcPr>
          <w:p>
            <w:pPr>
              <w:widowControl/>
              <w:jc w:val="left"/>
              <w:outlineLvl w:val="9"/>
              <w:rPr>
                <w:rFonts w:ascii="仿宋_GB2312" w:hAnsi="宋体" w:eastAsia="仿宋_GB2312"/>
                <w:color w:val="auto"/>
                <w:kern w:val="0"/>
                <w:sz w:val="18"/>
                <w:szCs w:val="18"/>
                <w:highlight w:val="none"/>
              </w:rPr>
            </w:pPr>
          </w:p>
        </w:tc>
        <w:tc>
          <w:tcPr>
            <w:tcW w:w="554" w:type="dxa"/>
            <w:vAlign w:val="top"/>
          </w:tcPr>
          <w:p>
            <w:pPr>
              <w:widowControl/>
              <w:jc w:val="left"/>
              <w:outlineLvl w:val="9"/>
              <w:rPr>
                <w:rFonts w:ascii="仿宋_GB2312" w:hAnsi="宋体" w:eastAsia="仿宋_GB2312"/>
                <w:color w:val="auto"/>
                <w:kern w:val="0"/>
                <w:sz w:val="18"/>
                <w:szCs w:val="18"/>
                <w:highlight w:val="none"/>
              </w:rPr>
            </w:pPr>
          </w:p>
        </w:tc>
        <w:tc>
          <w:tcPr>
            <w:tcW w:w="489" w:type="dxa"/>
            <w:vAlign w:val="top"/>
          </w:tcPr>
          <w:p>
            <w:pPr>
              <w:widowControl/>
              <w:jc w:val="left"/>
              <w:outlineLvl w:val="9"/>
              <w:rPr>
                <w:rFonts w:ascii="仿宋_GB2312" w:hAnsi="宋体" w:eastAsia="仿宋_GB2312"/>
                <w:color w:val="auto"/>
                <w:kern w:val="0"/>
                <w:sz w:val="18"/>
                <w:szCs w:val="18"/>
                <w:highlight w:val="none"/>
              </w:rPr>
            </w:pPr>
          </w:p>
        </w:tc>
        <w:tc>
          <w:tcPr>
            <w:tcW w:w="951" w:type="dxa"/>
            <w:vAlign w:val="top"/>
          </w:tcPr>
          <w:p>
            <w:pPr>
              <w:widowControl/>
              <w:jc w:val="left"/>
              <w:outlineLvl w:val="9"/>
              <w:rPr>
                <w:rFonts w:ascii="仿宋_GB2312" w:hAnsi="宋体" w:eastAsia="仿宋_GB2312"/>
                <w:color w:val="auto"/>
                <w:kern w:val="0"/>
                <w:sz w:val="18"/>
                <w:szCs w:val="18"/>
                <w:highlight w:val="none"/>
              </w:rPr>
            </w:pP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250.80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99</w:t>
            </w:r>
          </w:p>
        </w:tc>
        <w:tc>
          <w:tcPr>
            <w:tcW w:w="75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其他支持中小企业发展和管理支出</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2024年更新10辆新能源公交车（2024年分期支付车款）项目（非定额）</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418.00　</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4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418.00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8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5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230" w:type="dxa"/>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825" w:type="dxa"/>
            <w:vAlign w:val="center"/>
          </w:tcPr>
          <w:p>
            <w:pPr>
              <w:widowControl/>
              <w:jc w:val="center"/>
              <w:outlineLvl w:val="9"/>
              <w:rPr>
                <w:rFonts w:hint="eastAsia" w:ascii="仿宋_GB2312" w:hAnsi="宋体" w:eastAsia="仿宋_GB2312"/>
                <w:b/>
                <w:bCs/>
                <w:color w:val="auto"/>
                <w:kern w:val="0"/>
                <w:sz w:val="18"/>
                <w:szCs w:val="18"/>
                <w:highlight w:val="none"/>
                <w:lang w:eastAsia="zh-CN"/>
              </w:rPr>
            </w:pPr>
            <w:r>
              <w:rPr>
                <w:rFonts w:hint="eastAsia" w:ascii="仿宋_GB2312" w:hAnsi="宋体" w:eastAsia="仿宋_GB2312"/>
                <w:b/>
                <w:bCs/>
                <w:color w:val="auto"/>
                <w:kern w:val="0"/>
                <w:sz w:val="18"/>
                <w:szCs w:val="18"/>
                <w:highlight w:val="none"/>
                <w:lang w:val="en-US" w:eastAsia="zh-CN"/>
              </w:rPr>
              <w:t>4367.28</w:t>
            </w:r>
          </w:p>
        </w:tc>
        <w:tc>
          <w:tcPr>
            <w:tcW w:w="360"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870" w:type="dxa"/>
            <w:vAlign w:val="top"/>
          </w:tcPr>
          <w:p>
            <w:pPr>
              <w:widowControl/>
              <w:jc w:val="left"/>
              <w:outlineLvl w:val="9"/>
              <w:rPr>
                <w:rFonts w:hint="eastAsia"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284</w:t>
            </w:r>
          </w:p>
        </w:tc>
        <w:tc>
          <w:tcPr>
            <w:tcW w:w="481"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554"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489"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951"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r>
              <w:rPr>
                <w:rFonts w:hint="eastAsia" w:ascii="仿宋_GB2312" w:hAnsi="宋体" w:eastAsia="仿宋_GB2312"/>
                <w:b/>
                <w:bCs/>
                <w:color w:val="auto"/>
                <w:kern w:val="0"/>
                <w:sz w:val="18"/>
                <w:szCs w:val="18"/>
                <w:highlight w:val="none"/>
                <w:lang w:val="en-US" w:eastAsia="zh-CN"/>
              </w:rPr>
              <w:t>2767.28</w:t>
            </w:r>
          </w:p>
        </w:tc>
        <w:tc>
          <w:tcPr>
            <w:tcW w:w="345"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855"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1316.00</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bl>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lang w:val="en-US" w:eastAsia="zh-CN"/>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eastAsia="zh-CN"/>
        </w:rPr>
        <w:t>呼图县交通运输局</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城乡社区支出</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2064.75</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2064.75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212</w:t>
            </w:r>
            <w:r>
              <w:rPr>
                <w:rFonts w:hint="eastAsia" w:ascii="仿宋_GB2312" w:hAnsi="宋体" w:eastAsia="仿宋_GB2312" w:cs="宋体"/>
                <w:b w:val="0"/>
                <w:bCs w:val="0"/>
                <w:color w:val="auto"/>
                <w:kern w:val="0"/>
                <w:sz w:val="18"/>
                <w:szCs w:val="18"/>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08</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国有土地使用权出让收入安排的支出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2064.75</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bidi="ar-SA"/>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2064.75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lang w:val="en-US" w:eastAsia="zh-CN"/>
              </w:rPr>
              <w:t>212</w:t>
            </w:r>
            <w:r>
              <w:rPr>
                <w:rFonts w:hint="eastAsia" w:ascii="仿宋_GB2312" w:hAnsi="宋体" w:eastAsia="仿宋_GB2312" w:cs="宋体"/>
                <w:b w:val="0"/>
                <w:bCs w:val="0"/>
                <w:color w:val="auto"/>
                <w:kern w:val="0"/>
                <w:sz w:val="18"/>
                <w:szCs w:val="18"/>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08</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99</w:t>
            </w:r>
            <w:r>
              <w:rPr>
                <w:rFonts w:hint="eastAsia" w:ascii="仿宋_GB2312" w:hAnsi="宋体" w:eastAsia="仿宋_GB2312" w:cs="宋体"/>
                <w:b w:val="0"/>
                <w:bCs w:val="0"/>
                <w:color w:val="auto"/>
                <w:kern w:val="0"/>
                <w:sz w:val="18"/>
                <w:szCs w:val="18"/>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其他国有土地使用权出让收入安排的支出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2064.75</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bidi="ar-SA"/>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2064.75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2"/>
                <w:szCs w:val="2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2"/>
                <w:szCs w:val="2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2"/>
                <w:szCs w:val="2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2"/>
                <w:szCs w:val="2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2064.75</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bidi="ar-SA"/>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2064.75　</w:t>
            </w:r>
          </w:p>
        </w:tc>
      </w:tr>
    </w:tbl>
    <w:p>
      <w:pPr>
        <w:widowControl/>
        <w:spacing w:line="280" w:lineRule="exact"/>
        <w:outlineLvl w:val="9"/>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编制单位：呼图县交通运输局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9"/>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呼图壁县交通局 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年未安排国有资本经营支出 ，此表没有数据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编制单位：呼图壁县交通运输局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ind w:firstLine="281" w:firstLineChars="100"/>
              <w:outlineLvl w:val="9"/>
              <w:rPr>
                <w:rFonts w:hint="eastAsia" w:ascii="仿宋_GB2312" w:hAnsi="宋体" w:eastAsia="仿宋_GB2312" w:cs="Times New Roman"/>
                <w:b/>
                <w:color w:val="auto"/>
                <w:kern w:val="0"/>
                <w:sz w:val="28"/>
                <w:szCs w:val="32"/>
                <w:highlight w:val="none"/>
                <w:vertAlign w:val="baseline"/>
                <w:lang w:val="en-US" w:eastAsia="zh-CN" w:bidi="ar-SA"/>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vAlign w:val="top"/>
          </w:tcPr>
          <w:p>
            <w:pPr>
              <w:widowControl/>
              <w:ind w:firstLine="281" w:firstLineChars="100"/>
              <w:outlineLvl w:val="9"/>
              <w:rPr>
                <w:rFonts w:hint="eastAsia" w:ascii="仿宋_GB2312" w:hAnsi="宋体" w:eastAsia="仿宋_GB2312" w:cs="Times New Roman"/>
                <w:b/>
                <w:color w:val="auto"/>
                <w:kern w:val="0"/>
                <w:sz w:val="28"/>
                <w:szCs w:val="32"/>
                <w:highlight w:val="none"/>
                <w:vertAlign w:val="baseline"/>
                <w:lang w:val="en-US" w:eastAsia="zh-CN" w:bidi="ar-SA"/>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ind w:firstLine="281" w:firstLineChars="100"/>
              <w:outlineLvl w:val="9"/>
              <w:rPr>
                <w:rFonts w:hint="default" w:ascii="仿宋_GB2312" w:hAnsi="宋体" w:eastAsia="仿宋_GB2312" w:cs="Times New Roman"/>
                <w:b/>
                <w:color w:val="auto"/>
                <w:kern w:val="0"/>
                <w:sz w:val="28"/>
                <w:szCs w:val="32"/>
                <w:highlight w:val="none"/>
                <w:vertAlign w:val="baseline"/>
                <w:lang w:val="en-US" w:eastAsia="zh-CN" w:bidi="ar-SA"/>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vAlign w:val="top"/>
          </w:tcPr>
          <w:p>
            <w:pPr>
              <w:widowControl/>
              <w:ind w:firstLine="281" w:firstLineChars="100"/>
              <w:outlineLvl w:val="9"/>
              <w:rPr>
                <w:rFonts w:hint="default" w:ascii="仿宋_GB2312" w:hAnsi="宋体" w:eastAsia="仿宋_GB2312" w:cs="Times New Roman"/>
                <w:b/>
                <w:color w:val="auto"/>
                <w:kern w:val="0"/>
                <w:sz w:val="28"/>
                <w:szCs w:val="32"/>
                <w:highlight w:val="none"/>
                <w:vertAlign w:val="baseline"/>
                <w:lang w:val="en-US" w:eastAsia="zh-CN" w:bidi="ar-SA"/>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9"/>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9"/>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ind w:firstLine="281" w:firstLineChars="100"/>
              <w:outlineLvl w:val="9"/>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vAlign w:val="top"/>
          </w:tcPr>
          <w:p>
            <w:pPr>
              <w:widowControl/>
              <w:ind w:firstLine="281" w:firstLineChars="100"/>
              <w:outlineLvl w:val="9"/>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rPr>
          <w:rFonts w:hint="eastAsia" w:ascii="仿宋" w:hAnsi="仿宋" w:eastAsia="仿宋" w:cs="仿宋_GB2312"/>
          <w:bCs/>
          <w:color w:val="auto"/>
          <w:kern w:val="0"/>
          <w:sz w:val="28"/>
          <w:szCs w:val="28"/>
          <w:highlight w:val="none"/>
        </w:rPr>
      </w:pPr>
    </w:p>
    <w:p>
      <w:pPr>
        <w:pStyle w:val="2"/>
        <w:rPr>
          <w:rFonts w:hint="eastAsia"/>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i w:val="0"/>
          <w:color w:val="auto"/>
          <w:kern w:val="0"/>
          <w:sz w:val="20"/>
          <w:szCs w:val="20"/>
          <w:highlight w:val="none"/>
          <w:u w:val="none"/>
          <w:lang w:val="en-US" w:eastAsia="zh-CN" w:bidi="ar"/>
        </w:rPr>
        <w:t>表</w:t>
      </w:r>
      <w:r>
        <w:rPr>
          <w:rFonts w:hint="eastAsia" w:ascii="仿宋_GB2312" w:hAnsi="仿宋_GB2312" w:eastAsia="仿宋_GB2312" w:cs="仿宋_GB2312"/>
          <w:i w:val="0"/>
          <w:color w:val="auto"/>
          <w:kern w:val="0"/>
          <w:sz w:val="20"/>
          <w:szCs w:val="20"/>
          <w:highlight w:val="none"/>
          <w:u w:val="none"/>
          <w:lang w:eastAsia="zh-CN" w:bidi="ar"/>
        </w:rPr>
        <w:t>1</w:t>
      </w:r>
      <w:r>
        <w:rPr>
          <w:rFonts w:hint="eastAsia" w:ascii="仿宋_GB2312" w:hAnsi="仿宋_GB2312" w:eastAsia="仿宋_GB2312" w:cs="仿宋_GB2312"/>
          <w:i w:val="0"/>
          <w:color w:val="auto"/>
          <w:kern w:val="0"/>
          <w:sz w:val="20"/>
          <w:szCs w:val="20"/>
          <w:highlight w:val="none"/>
          <w:u w:val="none"/>
          <w:lang w:val="en-US" w:eastAsia="zh-CN" w:bidi="ar"/>
        </w:rPr>
        <w:t>1</w:t>
      </w:r>
    </w:p>
    <w:p>
      <w:pPr>
        <w:spacing w:line="600" w:lineRule="exact"/>
        <w:ind w:firstLine="2520" w:firstLineChars="900"/>
        <w:jc w:val="both"/>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5" w:hRule="atLeast"/>
        </w:trPr>
        <w:tc>
          <w:tcPr>
            <w:tcW w:w="1287" w:type="dxa"/>
            <w:vAlign w:val="center"/>
          </w:tcPr>
          <w:p>
            <w:pPr>
              <w:tabs>
                <w:tab w:val="left" w:pos="482"/>
              </w:tabs>
              <w:spacing w:line="360" w:lineRule="auto"/>
              <w:jc w:val="left"/>
              <w:rPr>
                <w:rFonts w:hint="eastAsia" w:ascii="仿宋_GB2312" w:hAnsi="仿宋_GB2312" w:eastAsia="仿宋_GB2312" w:cs="仿宋_GB2312"/>
                <w:b w:val="0"/>
                <w:bCs w:val="0"/>
                <w:color w:val="auto"/>
                <w:kern w:val="0"/>
                <w:sz w:val="28"/>
                <w:szCs w:val="28"/>
                <w:highlight w:val="none"/>
                <w:lang w:eastAsia="zh-CN"/>
              </w:rPr>
            </w:pPr>
            <w:r>
              <w:rPr>
                <w:rFonts w:hint="eastAsia" w:ascii="仿宋_GB2312" w:hAnsi="仿宋_GB2312" w:eastAsia="仿宋_GB2312" w:cs="仿宋_GB2312"/>
                <w:b w:val="0"/>
                <w:bCs w:val="0"/>
                <w:color w:val="auto"/>
                <w:kern w:val="0"/>
                <w:sz w:val="20"/>
                <w:szCs w:val="20"/>
                <w:highlight w:val="none"/>
                <w:lang w:val="en-US" w:eastAsia="zh-CN"/>
              </w:rPr>
              <w:tab/>
            </w:r>
            <w:r>
              <w:rPr>
                <w:rFonts w:hint="eastAsia" w:ascii="仿宋_GB2312" w:hAnsi="仿宋_GB2312" w:eastAsia="仿宋_GB2312" w:cs="仿宋_GB2312"/>
                <w:b w:val="0"/>
                <w:bCs w:val="0"/>
                <w:color w:val="auto"/>
                <w:kern w:val="0"/>
                <w:sz w:val="20"/>
                <w:szCs w:val="20"/>
                <w:highlight w:val="none"/>
                <w:lang w:val="en-US" w:eastAsia="zh-CN"/>
              </w:rPr>
              <w:t>突发公共卫生事件应急处置</w:t>
            </w:r>
          </w:p>
        </w:tc>
        <w:tc>
          <w:tcPr>
            <w:tcW w:w="850" w:type="dxa"/>
            <w:vAlign w:val="center"/>
          </w:tcPr>
          <w:p>
            <w:pPr>
              <w:spacing w:line="60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6.64</w:t>
            </w:r>
          </w:p>
        </w:tc>
        <w:tc>
          <w:tcPr>
            <w:tcW w:w="1054" w:type="dxa"/>
            <w:vAlign w:val="center"/>
          </w:tcPr>
          <w:p>
            <w:pPr>
              <w:spacing w:line="600" w:lineRule="exact"/>
              <w:jc w:val="center"/>
              <w:rPr>
                <w:rFonts w:hint="eastAsia" w:ascii="仿宋_GB2312" w:hAnsi="仿宋_GB2312" w:eastAsia="仿宋_GB2312" w:cs="仿宋_GB2312"/>
                <w:b/>
                <w:bCs w:val="0"/>
                <w:color w:val="auto"/>
                <w:kern w:val="0"/>
                <w:sz w:val="18"/>
                <w:szCs w:val="18"/>
                <w:highlight w:val="none"/>
              </w:rPr>
            </w:pPr>
            <w:r>
              <w:rPr>
                <w:rFonts w:hint="eastAsia" w:ascii="仿宋_GB2312" w:hAnsi="仿宋_GB2312" w:eastAsia="仿宋_GB2312" w:cs="仿宋_GB2312"/>
                <w:bCs/>
                <w:color w:val="auto"/>
                <w:kern w:val="0"/>
                <w:sz w:val="18"/>
                <w:szCs w:val="18"/>
                <w:highlight w:val="none"/>
                <w:lang w:val="en-US" w:eastAsia="zh-CN"/>
              </w:rPr>
              <w:t>6.64</w:t>
            </w:r>
          </w:p>
        </w:tc>
        <w:tc>
          <w:tcPr>
            <w:tcW w:w="890"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r>
              <w:rPr>
                <w:rFonts w:hint="eastAsia" w:ascii="仿宋_GB2312" w:hAnsi="仿宋_GB2312" w:eastAsia="仿宋_GB2312" w:cs="仿宋_GB2312"/>
                <w:bCs/>
                <w:color w:val="auto"/>
                <w:kern w:val="0"/>
                <w:sz w:val="18"/>
                <w:szCs w:val="18"/>
                <w:highlight w:val="none"/>
                <w:lang w:val="en-US" w:eastAsia="zh-CN"/>
              </w:rPr>
              <w:t>6.64</w:t>
            </w:r>
          </w:p>
        </w:tc>
        <w:tc>
          <w:tcPr>
            <w:tcW w:w="797"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23"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8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tabs>
                <w:tab w:val="left" w:pos="482"/>
              </w:tabs>
              <w:spacing w:line="360" w:lineRule="auto"/>
              <w:jc w:val="left"/>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公路建设</w:t>
            </w:r>
          </w:p>
        </w:tc>
        <w:tc>
          <w:tcPr>
            <w:tcW w:w="850" w:type="dxa"/>
            <w:vAlign w:val="center"/>
          </w:tcPr>
          <w:p>
            <w:pPr>
              <w:tabs>
                <w:tab w:val="left" w:pos="482"/>
              </w:tabs>
              <w:spacing w:line="360" w:lineRule="auto"/>
              <w:jc w:val="left"/>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142</w:t>
            </w:r>
          </w:p>
        </w:tc>
        <w:tc>
          <w:tcPr>
            <w:tcW w:w="1054" w:type="dxa"/>
            <w:vAlign w:val="center"/>
          </w:tcPr>
          <w:p>
            <w:pPr>
              <w:tabs>
                <w:tab w:val="left" w:pos="482"/>
              </w:tabs>
              <w:spacing w:line="360" w:lineRule="auto"/>
              <w:ind w:firstLine="200" w:firstLineChars="100"/>
              <w:jc w:val="left"/>
              <w:rPr>
                <w:rFonts w:hint="eastAsia" w:ascii="仿宋_GB2312" w:hAnsi="仿宋_GB2312" w:eastAsia="仿宋_GB2312" w:cs="仿宋_GB2312"/>
                <w:bCs/>
                <w:color w:val="auto"/>
                <w:kern w:val="0"/>
                <w:sz w:val="18"/>
                <w:szCs w:val="18"/>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142</w:t>
            </w:r>
          </w:p>
        </w:tc>
        <w:tc>
          <w:tcPr>
            <w:tcW w:w="890"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vAlign w:val="center"/>
          </w:tcPr>
          <w:p>
            <w:pPr>
              <w:tabs>
                <w:tab w:val="left" w:pos="482"/>
              </w:tabs>
              <w:spacing w:line="360" w:lineRule="auto"/>
              <w:ind w:firstLine="400" w:firstLineChars="200"/>
              <w:jc w:val="left"/>
              <w:rPr>
                <w:rFonts w:hint="eastAsia" w:ascii="仿宋_GB2312" w:hAnsi="仿宋_GB2312" w:eastAsia="仿宋_GB2312" w:cs="仿宋_GB2312"/>
                <w:bCs/>
                <w:color w:val="auto"/>
                <w:kern w:val="0"/>
                <w:sz w:val="18"/>
                <w:szCs w:val="18"/>
                <w:highlight w:val="none"/>
              </w:rPr>
            </w:pPr>
            <w:r>
              <w:rPr>
                <w:rFonts w:hint="eastAsia" w:ascii="仿宋_GB2312" w:hAnsi="仿宋_GB2312" w:eastAsia="仿宋_GB2312" w:cs="仿宋_GB2312"/>
                <w:b w:val="0"/>
                <w:bCs w:val="0"/>
                <w:color w:val="auto"/>
                <w:kern w:val="0"/>
                <w:sz w:val="20"/>
                <w:szCs w:val="20"/>
                <w:highlight w:val="none"/>
                <w:lang w:val="en-US" w:eastAsia="zh-CN"/>
              </w:rPr>
              <w:t>142</w:t>
            </w:r>
          </w:p>
        </w:tc>
        <w:tc>
          <w:tcPr>
            <w:tcW w:w="797"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23"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8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_GB2312" w:hAnsi="仿宋_GB2312" w:eastAsia="仿宋_GB2312" w:cs="仿宋_GB2312"/>
                <w:bCs/>
                <w:color w:val="auto"/>
                <w:kern w:val="0"/>
                <w:sz w:val="28"/>
                <w:szCs w:val="28"/>
                <w:highlight w:val="none"/>
              </w:rPr>
            </w:pPr>
          </w:p>
        </w:tc>
        <w:tc>
          <w:tcPr>
            <w:tcW w:w="850"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054"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90"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97"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23"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8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hint="eastAsia" w:ascii="仿宋_GB2312" w:hAnsi="仿宋_GB2312" w:eastAsia="仿宋_GB2312" w:cs="仿宋_GB2312"/>
                <w:bCs/>
                <w:color w:val="auto"/>
                <w:kern w:val="0"/>
                <w:sz w:val="28"/>
                <w:szCs w:val="28"/>
                <w:highlight w:val="none"/>
              </w:rPr>
            </w:pPr>
          </w:p>
        </w:tc>
        <w:tc>
          <w:tcPr>
            <w:tcW w:w="850"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054"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90"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97"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23"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8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r>
    </w:tbl>
    <w:p>
      <w:pPr>
        <w:widowControl/>
        <w:spacing w:line="280" w:lineRule="exact"/>
        <w:jc w:val="left"/>
        <w:outlineLvl w:val="9"/>
        <w:rPr>
          <w:rFonts w:ascii="仿宋_GB2312" w:hAnsi="宋体" w:eastAsia="仿宋_GB2312"/>
          <w:color w:val="auto"/>
          <w:kern w:val="0"/>
          <w:sz w:val="32"/>
          <w:szCs w:val="32"/>
          <w:highlight w:val="none"/>
        </w:rPr>
      </w:pPr>
    </w:p>
    <w:p>
      <w:pPr>
        <w:widowControl/>
        <w:spacing w:line="280" w:lineRule="exact"/>
        <w:jc w:val="left"/>
        <w:outlineLvl w:val="9"/>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呼图壁县交通运输局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rPr>
        <w:t>呼图壁县交通运输局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所有收入和支出均纳入单位预算管理。收支总预算 </w:t>
      </w:r>
      <w:r>
        <w:rPr>
          <w:rFonts w:hint="eastAsia" w:ascii="仿宋_GB2312" w:hAnsi="宋体" w:eastAsia="仿宋_GB2312" w:cs="宋体"/>
          <w:color w:val="auto"/>
          <w:kern w:val="0"/>
          <w:sz w:val="32"/>
          <w:szCs w:val="32"/>
          <w:highlight w:val="none"/>
          <w:lang w:val="en-US" w:eastAsia="zh-CN"/>
        </w:rPr>
        <w:t>7670.28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4824.60万元</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2064.75万元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632.20万元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148.64万元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支出预算包括：社会保险基金支出130.89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、卫生健康支出72.19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、城乡社区支出2064.75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、交通运输支出4010.67</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、资源勘探</w:t>
      </w:r>
      <w:r>
        <w:rPr>
          <w:rFonts w:hint="eastAsia" w:ascii="仿宋_GB2312" w:hAnsi="宋体" w:eastAsia="仿宋_GB2312" w:cs="宋体"/>
          <w:color w:val="auto"/>
          <w:kern w:val="0"/>
          <w:sz w:val="32"/>
          <w:szCs w:val="32"/>
          <w:highlight w:val="none"/>
          <w:lang w:val="en-US" w:eastAsia="zh-Hans"/>
        </w:rPr>
        <w:t>工业</w:t>
      </w:r>
      <w:r>
        <w:rPr>
          <w:rFonts w:hint="eastAsia" w:ascii="仿宋_GB2312" w:hAnsi="宋体" w:eastAsia="仿宋_GB2312" w:cs="宋体"/>
          <w:color w:val="auto"/>
          <w:kern w:val="0"/>
          <w:sz w:val="32"/>
          <w:szCs w:val="32"/>
          <w:highlight w:val="none"/>
        </w:rPr>
        <w:t>信息</w:t>
      </w:r>
      <w:r>
        <w:rPr>
          <w:rFonts w:hint="eastAsia" w:ascii="仿宋_GB2312" w:hAnsi="宋体" w:eastAsia="仿宋_GB2312" w:cs="宋体"/>
          <w:color w:val="auto"/>
          <w:kern w:val="0"/>
          <w:sz w:val="32"/>
          <w:szCs w:val="32"/>
          <w:highlight w:val="none"/>
          <w:lang w:eastAsia="zh-CN"/>
        </w:rPr>
        <w:t>等支出</w:t>
      </w:r>
      <w:r>
        <w:rPr>
          <w:rFonts w:hint="eastAsia" w:ascii="仿宋_GB2312" w:hAnsi="宋体" w:eastAsia="仿宋_GB2312" w:cs="宋体"/>
          <w:color w:val="auto"/>
          <w:kern w:val="0"/>
          <w:sz w:val="32"/>
          <w:szCs w:val="32"/>
          <w:highlight w:val="none"/>
        </w:rPr>
        <w:t>1316.00</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、住房保障支出75.78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rPr>
        <w:t>呼图壁县交通运输局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呼图壁县交通运输局</w:t>
      </w:r>
      <w:r>
        <w:rPr>
          <w:rFonts w:hint="eastAsia" w:ascii="仿宋_GB2312" w:hAnsi="宋体" w:eastAsia="仿宋_GB2312" w:cs="宋体"/>
          <w:color w:val="auto"/>
          <w:kern w:val="0"/>
          <w:sz w:val="32"/>
          <w:szCs w:val="32"/>
          <w:highlight w:val="none"/>
        </w:rPr>
        <w:t>收入预算 7670.28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一般公共预算4824.60万元，占</w:t>
      </w:r>
      <w:r>
        <w:rPr>
          <w:rFonts w:hint="eastAsia" w:ascii="仿宋_GB2312" w:hAnsi="宋体" w:eastAsia="仿宋_GB2312" w:cs="宋体"/>
          <w:color w:val="auto"/>
          <w:kern w:val="0"/>
          <w:sz w:val="32"/>
          <w:szCs w:val="32"/>
          <w:highlight w:val="none"/>
          <w:lang w:val="en-US" w:eastAsia="zh-CN"/>
        </w:rPr>
        <w:t>62.90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2726.15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129.91 %，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对新能源公交车购置费用增加及公路建设项目增加。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w:t>
      </w:r>
      <w:r>
        <w:rPr>
          <w:rFonts w:hint="eastAsia" w:ascii="仿宋_GB2312" w:hAnsi="宋体" w:eastAsia="仿宋_GB2312" w:cs="宋体"/>
          <w:color w:val="auto"/>
          <w:kern w:val="0"/>
          <w:sz w:val="32"/>
          <w:szCs w:val="32"/>
          <w:highlight w:val="none"/>
        </w:rPr>
        <w:t>2783.28万元，占</w:t>
      </w:r>
      <w:r>
        <w:rPr>
          <w:rFonts w:hint="eastAsia" w:ascii="仿宋_GB2312" w:hAnsi="宋体" w:eastAsia="仿宋_GB2312" w:cs="宋体"/>
          <w:color w:val="auto"/>
          <w:kern w:val="0"/>
          <w:sz w:val="32"/>
          <w:szCs w:val="32"/>
          <w:highlight w:val="none"/>
          <w:lang w:val="en-US" w:eastAsia="zh-CN"/>
        </w:rPr>
        <w:t>36.29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1983.28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247.91 %，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本年上级下达车辆购置税用于一般农村公路建设项目资金增加</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政府性基金预算2064.75万元， 占</w:t>
      </w:r>
      <w:r>
        <w:rPr>
          <w:rFonts w:hint="eastAsia" w:ascii="仿宋_GB2312" w:hAnsi="宋体" w:eastAsia="仿宋_GB2312" w:cs="宋体"/>
          <w:color w:val="auto"/>
          <w:kern w:val="0"/>
          <w:sz w:val="32"/>
          <w:szCs w:val="32"/>
          <w:highlight w:val="none"/>
          <w:lang w:val="en-US" w:eastAsia="zh-CN"/>
        </w:rPr>
        <w:t>26.92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1061.24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105.75 %，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w:t>
      </w:r>
      <w:r>
        <w:rPr>
          <w:rFonts w:hint="eastAsia" w:ascii="仿宋_GB2312" w:hAnsi="宋体" w:eastAsia="仿宋_GB2312" w:cs="宋体"/>
          <w:color w:val="auto"/>
          <w:kern w:val="0"/>
          <w:sz w:val="32"/>
          <w:szCs w:val="32"/>
          <w:highlight w:val="none"/>
        </w:rPr>
        <w:t>其他国有土地使用权出让收入安排的</w:t>
      </w:r>
      <w:r>
        <w:rPr>
          <w:rFonts w:hint="eastAsia" w:ascii="仿宋_GB2312" w:hAnsi="宋体" w:eastAsia="仿宋_GB2312" w:cs="宋体"/>
          <w:color w:val="auto"/>
          <w:kern w:val="0"/>
          <w:sz w:val="32"/>
          <w:szCs w:val="32"/>
          <w:highlight w:val="none"/>
          <w:lang w:eastAsia="zh-CN"/>
        </w:rPr>
        <w:t>公路建设项出</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财政专户未安排；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632.29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8.24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19.47%，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人员费用及委拖业务费用增加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lang w:val="en-US" w:eastAsia="zh-CN"/>
        </w:rPr>
        <w:t>结转148.64万元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1.94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148.64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上年有未完成支付的上级专项资金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rPr>
        <w:t>呼图壁县交通运输局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呼图壁县交通运输局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 7670.28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基本支出704.62万元，占</w:t>
      </w:r>
      <w:r>
        <w:rPr>
          <w:rFonts w:hint="eastAsia" w:ascii="仿宋_GB2312" w:hAnsi="宋体" w:eastAsia="仿宋_GB2312" w:cs="宋体"/>
          <w:color w:val="auto"/>
          <w:kern w:val="0"/>
          <w:sz w:val="32"/>
          <w:szCs w:val="32"/>
          <w:highlight w:val="none"/>
          <w:lang w:val="en-US" w:eastAsia="zh-CN"/>
        </w:rPr>
        <w:t>9.19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294.17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71.67 %，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增资</w:t>
      </w:r>
      <w:r>
        <w:rPr>
          <w:rFonts w:hint="eastAsia" w:ascii="仿宋_GB2312" w:hAnsi="宋体" w:eastAsia="仿宋_GB2312" w:cs="宋体"/>
          <w:kern w:val="0"/>
          <w:sz w:val="32"/>
          <w:szCs w:val="32"/>
          <w:lang w:eastAsia="zh-CN"/>
        </w:rPr>
        <w:t>及社保、公积金基数调整</w:t>
      </w:r>
      <w:r>
        <w:rPr>
          <w:rFonts w:hint="eastAsia" w:ascii="仿宋_GB2312" w:hAnsi="宋体" w:eastAsia="仿宋_GB2312" w:cs="宋体"/>
          <w:kern w:val="0"/>
          <w:sz w:val="32"/>
          <w:szCs w:val="32"/>
        </w:rPr>
        <w:t>因素，人员及公用经费增加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项目支出6965.67万元，占</w:t>
      </w:r>
      <w:r>
        <w:rPr>
          <w:rFonts w:hint="eastAsia" w:ascii="仿宋_GB2312" w:hAnsi="宋体" w:eastAsia="仿宋_GB2312" w:cs="宋体"/>
          <w:color w:val="auto"/>
          <w:kern w:val="0"/>
          <w:sz w:val="32"/>
          <w:szCs w:val="32"/>
          <w:highlight w:val="none"/>
          <w:lang w:val="en-US" w:eastAsia="zh-CN"/>
        </w:rPr>
        <w:t>90.81</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3745.01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116.28%，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公路建设项目</w:t>
      </w:r>
      <w:r>
        <w:rPr>
          <w:rFonts w:hint="eastAsia" w:ascii="仿宋_GB2312" w:hAnsi="宋体" w:eastAsia="仿宋_GB2312" w:cs="宋体"/>
          <w:kern w:val="0"/>
          <w:sz w:val="32"/>
          <w:szCs w:val="32"/>
          <w:lang w:eastAsia="zh-CN"/>
        </w:rPr>
        <w:t>及新能源公交车购置</w:t>
      </w:r>
      <w:r>
        <w:rPr>
          <w:rFonts w:hint="eastAsia" w:ascii="仿宋_GB2312" w:hAnsi="宋体" w:eastAsia="仿宋_GB2312" w:cs="宋体"/>
          <w:kern w:val="0"/>
          <w:sz w:val="32"/>
          <w:szCs w:val="32"/>
        </w:rPr>
        <w:t>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kern w:val="0"/>
          <w:sz w:val="32"/>
          <w:szCs w:val="32"/>
        </w:rPr>
        <w:t>呼图壁县交通运输局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6889.35</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4824.6</w:t>
      </w:r>
      <w:r>
        <w:rPr>
          <w:rFonts w:hint="eastAsia" w:ascii="仿宋_GB2312" w:hAnsi="宋体" w:eastAsia="仿宋_GB2312" w:cs="宋体"/>
          <w:color w:val="auto"/>
          <w:kern w:val="0"/>
          <w:sz w:val="32"/>
          <w:szCs w:val="32"/>
          <w:highlight w:val="none"/>
        </w:rPr>
        <w:t>万元，政府性基金预算拨款2064.75万元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国有资本经营预算拨款0万元</w:t>
      </w:r>
      <w:r>
        <w:rPr>
          <w:rFonts w:hint="eastAsia" w:ascii="仿宋_GB2312" w:hAnsi="宋体" w:eastAsia="仿宋_GB2312" w:cs="宋体"/>
          <w:color w:val="auto"/>
          <w:kern w:val="0"/>
          <w:sz w:val="32"/>
          <w:szCs w:val="32"/>
          <w:highlight w:val="none"/>
        </w:rPr>
        <w:t>。</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rPr>
        <w:t>社会保障和就业支出48.89万元，主要用于缴纳人员养老保险支出。卫生健康支出</w:t>
      </w:r>
      <w:r>
        <w:rPr>
          <w:rFonts w:hint="eastAsia" w:ascii="仿宋_GB2312" w:hAnsi="宋体" w:eastAsia="仿宋_GB2312" w:cs="宋体"/>
          <w:color w:val="auto"/>
          <w:kern w:val="0"/>
          <w:sz w:val="32"/>
          <w:szCs w:val="32"/>
          <w:lang w:val="en-US" w:eastAsia="zh-CN"/>
        </w:rPr>
        <w:t>29.06</w:t>
      </w:r>
      <w:r>
        <w:rPr>
          <w:rFonts w:hint="eastAsia" w:ascii="仿宋_GB2312" w:hAnsi="宋体" w:eastAsia="仿宋_GB2312" w:cs="宋体"/>
          <w:kern w:val="0"/>
          <w:sz w:val="32"/>
          <w:szCs w:val="32"/>
        </w:rPr>
        <w:t>万元、主要用于缴纳人员医疗保险费支出。城乡社区支出2064.75</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eastAsia="zh-CN"/>
        </w:rPr>
        <w:t>公共基础设施建。</w:t>
      </w:r>
      <w:r>
        <w:rPr>
          <w:rFonts w:hint="eastAsia" w:ascii="仿宋_GB2312" w:hAnsi="宋体" w:eastAsia="仿宋_GB2312" w:cs="宋体"/>
          <w:kern w:val="0"/>
          <w:sz w:val="32"/>
          <w:szCs w:val="32"/>
        </w:rPr>
        <w:t>交通运输支出</w:t>
      </w:r>
      <w:r>
        <w:rPr>
          <w:rFonts w:hint="eastAsia" w:ascii="仿宋_GB2312" w:hAnsi="宋体" w:eastAsia="仿宋_GB2312" w:cs="宋体"/>
          <w:kern w:val="0"/>
          <w:sz w:val="32"/>
          <w:szCs w:val="32"/>
          <w:lang w:val="en-US" w:eastAsia="zh-CN"/>
        </w:rPr>
        <w:t>3392.87</w:t>
      </w:r>
      <w:r>
        <w:rPr>
          <w:rFonts w:hint="eastAsia" w:ascii="仿宋_GB2312" w:hAnsi="宋体" w:eastAsia="仿宋_GB2312" w:cs="宋体"/>
          <w:kern w:val="0"/>
          <w:sz w:val="32"/>
          <w:szCs w:val="32"/>
        </w:rPr>
        <w:t>万元，主要用于工资福利、办公费、公路建设等支出。资源勘探工业信息等支出1316万元，主要用于对公交企业的补助支出。住房保障支出37.78万元，主要用于缴纳人员住房公积金支出。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w:t>
      </w:r>
      <w:r>
        <w:rPr>
          <w:rFonts w:hint="eastAsia" w:ascii="仿宋_GB2312" w:hAnsi="宋体" w:eastAsia="仿宋_GB2312" w:cs="宋体"/>
          <w:kern w:val="0"/>
          <w:sz w:val="32"/>
          <w:szCs w:val="32"/>
        </w:rPr>
        <w:t>城乡社区支出</w:t>
      </w:r>
      <w:r>
        <w:rPr>
          <w:rFonts w:hint="eastAsia" w:ascii="仿宋_GB2312" w:hAnsi="宋体" w:eastAsia="仿宋_GB2312" w:cs="宋体"/>
          <w:color w:val="auto"/>
          <w:kern w:val="0"/>
          <w:sz w:val="32"/>
          <w:szCs w:val="32"/>
          <w:highlight w:val="none"/>
          <w:lang w:val="en-US" w:eastAsia="zh-CN"/>
        </w:rPr>
        <w:t>支出2064.75万元，主要用于</w:t>
      </w:r>
      <w:r>
        <w:rPr>
          <w:rFonts w:hint="eastAsia" w:ascii="仿宋_GB2312" w:hAnsi="宋体" w:eastAsia="仿宋_GB2312" w:cs="宋体"/>
          <w:kern w:val="0"/>
          <w:sz w:val="32"/>
          <w:szCs w:val="32"/>
          <w:lang w:eastAsia="zh-CN"/>
        </w:rPr>
        <w:t>公共基础设施建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呼图壁县交通运输局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kern w:val="0"/>
          <w:sz w:val="32"/>
          <w:szCs w:val="32"/>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4824.6</w:t>
      </w:r>
      <w:r>
        <w:rPr>
          <w:rFonts w:hint="eastAsia" w:ascii="仿宋_GB2312" w:hAnsi="仿宋_GB2312" w:eastAsia="仿宋_GB2312" w:cs="仿宋_GB2312"/>
          <w:color w:val="auto"/>
          <w:kern w:val="0"/>
          <w:sz w:val="32"/>
          <w:szCs w:val="32"/>
          <w:highlight w:val="none"/>
        </w:rPr>
        <w:t>万元，其中：基本支出457.32万元，比上年预算增加</w:t>
      </w:r>
      <w:r>
        <w:rPr>
          <w:rFonts w:hint="eastAsia" w:ascii="仿宋_GB2312" w:hAnsi="仿宋_GB2312" w:eastAsia="仿宋_GB2312" w:cs="仿宋_GB2312"/>
          <w:color w:val="auto"/>
          <w:kern w:val="0"/>
          <w:sz w:val="32"/>
          <w:szCs w:val="32"/>
          <w:highlight w:val="none"/>
          <w:lang w:val="en-US" w:eastAsia="zh-CN"/>
        </w:rPr>
        <w:t>46.87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11.42</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kern w:val="0"/>
          <w:sz w:val="32"/>
          <w:szCs w:val="32"/>
        </w:rPr>
        <w:t>增资</w:t>
      </w:r>
      <w:r>
        <w:rPr>
          <w:rFonts w:hint="eastAsia" w:ascii="仿宋_GB2312" w:hAnsi="宋体" w:eastAsia="仿宋_GB2312" w:cs="宋体"/>
          <w:kern w:val="0"/>
          <w:sz w:val="32"/>
          <w:szCs w:val="32"/>
          <w:lang w:eastAsia="zh-CN"/>
        </w:rPr>
        <w:t>及社保、公积金基数调整</w:t>
      </w:r>
      <w:r>
        <w:rPr>
          <w:rFonts w:hint="eastAsia" w:ascii="仿宋_GB2312" w:hAnsi="宋体" w:eastAsia="仿宋_GB2312" w:cs="宋体"/>
          <w:kern w:val="0"/>
          <w:sz w:val="32"/>
          <w:szCs w:val="32"/>
        </w:rPr>
        <w:t>因素，人员及公用经费增加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4367.28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1295.26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40.22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rPr>
        <w:t>公路建设项目</w:t>
      </w:r>
      <w:r>
        <w:rPr>
          <w:rFonts w:hint="eastAsia" w:ascii="仿宋_GB2312" w:hAnsi="宋体" w:eastAsia="仿宋_GB2312" w:cs="宋体"/>
          <w:kern w:val="0"/>
          <w:sz w:val="32"/>
          <w:szCs w:val="32"/>
          <w:lang w:eastAsia="zh-CN"/>
        </w:rPr>
        <w:t>及新能源公交车购置</w:t>
      </w:r>
      <w:r>
        <w:rPr>
          <w:rFonts w:hint="eastAsia" w:ascii="仿宋_GB2312" w:hAnsi="宋体" w:eastAsia="仿宋_GB2312" w:cs="宋体"/>
          <w:kern w:val="0"/>
          <w:sz w:val="32"/>
          <w:szCs w:val="32"/>
        </w:rPr>
        <w:t>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1.社会保障和就业支出（类）</w:t>
      </w:r>
      <w:r>
        <w:rPr>
          <w:rFonts w:hint="eastAsia" w:ascii="仿宋_GB2312" w:hAnsi="宋体" w:eastAsia="仿宋_GB2312" w:cs="宋体"/>
          <w:kern w:val="0"/>
          <w:sz w:val="32"/>
          <w:szCs w:val="32"/>
        </w:rPr>
        <w:t>48.89万元，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1.02</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rPr>
        <w:t>2.医疗卫生健康</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lang w:val="en-US" w:eastAsia="zh-CN"/>
        </w:rPr>
        <w:t>29.06</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0.6</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3.交通运输（类）</w:t>
      </w:r>
      <w:r>
        <w:rPr>
          <w:rFonts w:hint="eastAsia" w:ascii="仿宋_GB2312" w:hAnsi="仿宋_GB2312" w:eastAsia="仿宋_GB2312" w:cs="仿宋_GB2312"/>
          <w:sz w:val="32"/>
          <w:szCs w:val="32"/>
          <w:lang w:val="en-US" w:eastAsia="zh-CN"/>
        </w:rPr>
        <w:t>3392.87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70.32</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4.资源勘探工业信息等支出（类）1316.00万占</w:t>
      </w:r>
      <w:r>
        <w:rPr>
          <w:rFonts w:hint="eastAsia" w:ascii="仿宋_GB2312" w:hAnsi="仿宋_GB2312" w:eastAsia="仿宋_GB2312" w:cs="仿宋_GB2312"/>
          <w:sz w:val="32"/>
          <w:szCs w:val="32"/>
          <w:lang w:val="en-US" w:eastAsia="zh-CN"/>
        </w:rPr>
        <w:t>27.28</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sz w:val="32"/>
          <w:szCs w:val="32"/>
        </w:rPr>
        <w:t>5.住房保障（类）37.78万元占</w:t>
      </w:r>
      <w:r>
        <w:rPr>
          <w:rFonts w:hint="eastAsia" w:ascii="仿宋_GB2312" w:hAnsi="仿宋_GB2312" w:eastAsia="仿宋_GB2312" w:cs="仿宋_GB2312"/>
          <w:sz w:val="32"/>
          <w:szCs w:val="32"/>
          <w:lang w:val="en-US" w:eastAsia="zh-CN"/>
        </w:rPr>
        <w:t>0.78</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1.社会保障和就业支出（208类）行政事业单位离退休（05款）行政单位离退休（0</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年预算数为3.58</w:t>
      </w:r>
      <w:r>
        <w:rPr>
          <w:rFonts w:hint="eastAsia" w:ascii="仿宋_GB2312" w:hAnsi="仿宋_GB2312" w:eastAsia="仿宋_GB2312" w:cs="仿宋_GB2312"/>
          <w:kern w:val="0"/>
          <w:sz w:val="32"/>
          <w:szCs w:val="32"/>
          <w:lang w:eastAsia="zh-CN"/>
        </w:rPr>
        <w:t>万元</w:t>
      </w:r>
      <w:r>
        <w:rPr>
          <w:rFonts w:hint="eastAsia" w:ascii="仿宋_GB2312" w:hAnsi="仿宋_GB2312" w:eastAsia="仿宋_GB2312" w:cs="仿宋_GB2312"/>
          <w:kern w:val="0"/>
          <w:sz w:val="32"/>
          <w:szCs w:val="32"/>
        </w:rPr>
        <w:t>，比上年预算数增加</w:t>
      </w:r>
      <w:r>
        <w:rPr>
          <w:rFonts w:hint="eastAsia" w:ascii="仿宋_GB2312" w:hAnsi="仿宋_GB2312" w:eastAsia="仿宋_GB2312" w:cs="仿宋_GB2312"/>
          <w:kern w:val="0"/>
          <w:sz w:val="32"/>
          <w:szCs w:val="32"/>
          <w:lang w:val="en-US" w:eastAsia="zh-CN"/>
        </w:rPr>
        <w:t>3.58</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离退休人员增加离退休</w:t>
      </w:r>
      <w:r>
        <w:rPr>
          <w:rFonts w:hint="eastAsia" w:ascii="仿宋_GB2312" w:hAnsi="仿宋_GB2312" w:eastAsia="仿宋_GB2312" w:cs="仿宋_GB2312"/>
          <w:kern w:val="0"/>
          <w:sz w:val="32"/>
          <w:szCs w:val="32"/>
        </w:rPr>
        <w:t>费支出增加。</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2.社会保障和就业支出（208类）行政事业单位离退休（05款）机关事单位基本养老保险缴费支出（05项）:202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45.3</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5.42</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13.59</w:t>
      </w:r>
      <w:r>
        <w:rPr>
          <w:rFonts w:hint="eastAsia" w:ascii="仿宋_GB2312" w:hAnsi="仿宋_GB2312" w:eastAsia="仿宋_GB2312" w:cs="仿宋_GB2312"/>
          <w:kern w:val="0"/>
          <w:sz w:val="32"/>
          <w:szCs w:val="32"/>
        </w:rPr>
        <w:t>%，主要原因是人员增加</w:t>
      </w:r>
      <w:r>
        <w:rPr>
          <w:rFonts w:hint="eastAsia" w:ascii="仿宋_GB2312" w:hAnsi="宋体" w:eastAsia="仿宋_GB2312" w:cs="宋体"/>
          <w:kern w:val="0"/>
          <w:sz w:val="32"/>
          <w:szCs w:val="32"/>
        </w:rPr>
        <w:t>增资因素</w:t>
      </w:r>
      <w:r>
        <w:rPr>
          <w:rFonts w:hint="eastAsia" w:ascii="仿宋_GB2312" w:hAnsi="仿宋_GB2312" w:eastAsia="仿宋_GB2312" w:cs="仿宋_GB2312"/>
          <w:kern w:val="0"/>
          <w:sz w:val="32"/>
          <w:szCs w:val="32"/>
        </w:rPr>
        <w:t>，养老保险缴费支出增加。</w:t>
      </w:r>
    </w:p>
    <w:p>
      <w:pPr>
        <w:spacing w:line="600" w:lineRule="exact"/>
        <w:ind w:firstLine="640" w:firstLineChars="200"/>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卫生健康支出（210类）行政事业单位医疗（11款）行政单位医疗</w:t>
      </w:r>
      <w:r>
        <w:rPr>
          <w:rFonts w:hint="eastAsia" w:ascii="仿宋_GB2312" w:hAnsi="仿宋_GB2312" w:eastAsia="仿宋_GB2312" w:cs="仿宋_GB2312"/>
          <w:color w:val="auto"/>
          <w:kern w:val="0"/>
          <w:sz w:val="32"/>
          <w:szCs w:val="32"/>
        </w:rPr>
        <w:t>（01项）:202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年预算数为18.13</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万元，比上年预算数</w:t>
      </w:r>
      <w:r>
        <w:rPr>
          <w:rFonts w:hint="eastAsia" w:ascii="仿宋_GB2312" w:hAnsi="仿宋_GB2312" w:eastAsia="仿宋_GB2312" w:cs="仿宋_GB2312"/>
          <w:color w:val="auto"/>
          <w:kern w:val="0"/>
          <w:sz w:val="32"/>
          <w:szCs w:val="32"/>
          <w:lang w:eastAsia="zh-CN"/>
        </w:rPr>
        <w:t>减少</w:t>
      </w:r>
      <w:r>
        <w:rPr>
          <w:rFonts w:hint="eastAsia" w:ascii="仿宋_GB2312" w:hAnsi="仿宋_GB2312" w:eastAsia="仿宋_GB2312" w:cs="仿宋_GB2312"/>
          <w:color w:val="auto"/>
          <w:kern w:val="0"/>
          <w:sz w:val="32"/>
          <w:szCs w:val="32"/>
          <w:lang w:val="en-US" w:eastAsia="zh-CN"/>
        </w:rPr>
        <w:t>3.62</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color w:val="auto"/>
          <w:kern w:val="0"/>
          <w:sz w:val="32"/>
          <w:szCs w:val="32"/>
          <w:lang w:eastAsia="zh-CN"/>
        </w:rPr>
        <w:t>减少</w:t>
      </w:r>
      <w:r>
        <w:rPr>
          <w:rFonts w:hint="eastAsia" w:ascii="仿宋_GB2312" w:hAnsi="仿宋_GB2312" w:eastAsia="仿宋_GB2312" w:cs="仿宋_GB2312"/>
          <w:color w:val="auto"/>
          <w:kern w:val="0"/>
          <w:sz w:val="32"/>
          <w:szCs w:val="32"/>
          <w:lang w:val="en-US" w:eastAsia="zh-CN"/>
        </w:rPr>
        <w:t>16.64</w:t>
      </w:r>
      <w:r>
        <w:rPr>
          <w:rFonts w:hint="eastAsia" w:ascii="仿宋_GB2312" w:hAnsi="仿宋_GB2312" w:eastAsia="仿宋_GB2312" w:cs="仿宋_GB2312"/>
          <w:color w:val="auto"/>
          <w:kern w:val="0"/>
          <w:sz w:val="32"/>
          <w:szCs w:val="32"/>
        </w:rPr>
        <w:t>%，主要原因是</w:t>
      </w:r>
      <w:r>
        <w:rPr>
          <w:rFonts w:hint="eastAsia" w:ascii="仿宋_GB2312" w:hAnsi="仿宋_GB2312" w:eastAsia="仿宋_GB2312" w:cs="仿宋_GB2312"/>
          <w:color w:val="auto"/>
          <w:kern w:val="0"/>
          <w:sz w:val="32"/>
          <w:szCs w:val="32"/>
          <w:lang w:eastAsia="zh-CN"/>
        </w:rPr>
        <w:t>事业</w:t>
      </w:r>
      <w:r>
        <w:rPr>
          <w:rFonts w:hint="eastAsia" w:ascii="仿宋_GB2312" w:hAnsi="仿宋_GB2312" w:eastAsia="仿宋_GB2312" w:cs="仿宋_GB2312"/>
          <w:color w:val="auto"/>
          <w:kern w:val="0"/>
          <w:sz w:val="32"/>
          <w:szCs w:val="32"/>
        </w:rPr>
        <w:t>人员</w:t>
      </w:r>
      <w:r>
        <w:rPr>
          <w:rFonts w:hint="eastAsia" w:ascii="仿宋_GB2312" w:hAnsi="仿宋_GB2312" w:eastAsia="仿宋_GB2312" w:cs="仿宋_GB2312"/>
          <w:color w:val="auto"/>
          <w:kern w:val="0"/>
          <w:sz w:val="32"/>
          <w:szCs w:val="32"/>
          <w:lang w:eastAsia="zh-CN"/>
        </w:rPr>
        <w:t>医疗本年款项调整到</w:t>
      </w:r>
      <w:r>
        <w:rPr>
          <w:rFonts w:hint="eastAsia" w:ascii="仿宋_GB2312" w:hAnsi="仿宋_GB2312" w:eastAsia="仿宋_GB2312" w:cs="仿宋_GB2312"/>
          <w:kern w:val="0"/>
          <w:sz w:val="32"/>
          <w:szCs w:val="32"/>
        </w:rPr>
        <w:t>事业单位医疗</w:t>
      </w:r>
      <w:r>
        <w:rPr>
          <w:rFonts w:hint="eastAsia" w:ascii="仿宋_GB2312" w:hAnsi="仿宋_GB2312" w:eastAsia="仿宋_GB2312" w:cs="仿宋_GB2312"/>
          <w:kern w:val="0"/>
          <w:sz w:val="32"/>
          <w:szCs w:val="32"/>
          <w:lang w:eastAsia="zh-CN"/>
        </w:rPr>
        <w:t>款项</w:t>
      </w:r>
      <w:r>
        <w:rPr>
          <w:rFonts w:hint="eastAsia" w:ascii="仿宋_GB2312" w:hAnsi="仿宋_GB2312" w:eastAsia="仿宋_GB2312" w:cs="仿宋_GB2312"/>
          <w:color w:val="auto"/>
          <w:kern w:val="0"/>
          <w:sz w:val="32"/>
          <w:szCs w:val="32"/>
          <w:lang w:eastAsia="zh-CN"/>
        </w:rPr>
        <w:t>。</w:t>
      </w:r>
    </w:p>
    <w:p>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kern w:val="0"/>
          <w:sz w:val="32"/>
          <w:szCs w:val="32"/>
        </w:rPr>
        <w:t>卫生健康支出（210类）行政事业单位医疗（11款）事业单位医疗</w:t>
      </w:r>
      <w:r>
        <w:rPr>
          <w:rFonts w:hint="eastAsia" w:ascii="仿宋_GB2312" w:hAnsi="仿宋_GB2312" w:eastAsia="仿宋_GB2312" w:cs="仿宋_GB2312"/>
          <w:color w:val="auto"/>
          <w:kern w:val="0"/>
          <w:sz w:val="32"/>
          <w:szCs w:val="32"/>
        </w:rPr>
        <w:t>（0</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项）:202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年预算数为</w:t>
      </w:r>
      <w:r>
        <w:rPr>
          <w:rFonts w:hint="eastAsia" w:ascii="仿宋_GB2312" w:hAnsi="仿宋_GB2312" w:eastAsia="仿宋_GB2312" w:cs="仿宋_GB2312"/>
          <w:color w:val="auto"/>
          <w:kern w:val="0"/>
          <w:sz w:val="32"/>
          <w:szCs w:val="32"/>
          <w:lang w:val="en-US" w:eastAsia="zh-CN"/>
        </w:rPr>
        <w:t>4.52</w:t>
      </w:r>
      <w:r>
        <w:rPr>
          <w:rFonts w:hint="eastAsia" w:ascii="仿宋_GB2312" w:hAnsi="仿宋_GB2312" w:eastAsia="仿宋_GB2312" w:cs="仿宋_GB2312"/>
          <w:color w:val="auto"/>
          <w:kern w:val="0"/>
          <w:sz w:val="32"/>
          <w:szCs w:val="32"/>
        </w:rPr>
        <w:t>万元，比上年预算数</w:t>
      </w:r>
      <w:r>
        <w:rPr>
          <w:rFonts w:hint="eastAsia" w:ascii="仿宋_GB2312" w:hAnsi="仿宋_GB2312" w:eastAsia="仿宋_GB2312" w:cs="仿宋_GB2312"/>
          <w:color w:val="auto"/>
          <w:kern w:val="0"/>
          <w:sz w:val="32"/>
          <w:szCs w:val="32"/>
          <w:lang w:eastAsia="zh-CN"/>
        </w:rPr>
        <w:t>增加</w:t>
      </w:r>
      <w:r>
        <w:rPr>
          <w:rFonts w:hint="eastAsia" w:ascii="仿宋_GB2312" w:hAnsi="仿宋_GB2312" w:eastAsia="仿宋_GB2312" w:cs="仿宋_GB2312"/>
          <w:color w:val="auto"/>
          <w:kern w:val="0"/>
          <w:sz w:val="32"/>
          <w:szCs w:val="32"/>
          <w:lang w:val="en-US" w:eastAsia="zh-CN"/>
        </w:rPr>
        <w:t>4.52</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color w:val="auto"/>
          <w:kern w:val="0"/>
          <w:sz w:val="32"/>
          <w:szCs w:val="32"/>
          <w:lang w:eastAsia="zh-CN"/>
        </w:rPr>
        <w:t>增加</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rPr>
        <w:t>%，主要原因是</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年预算未安排</w:t>
      </w:r>
      <w:r>
        <w:rPr>
          <w:rFonts w:hint="eastAsia" w:ascii="仿宋_GB2312" w:hAnsi="仿宋_GB2312" w:eastAsia="仿宋_GB2312" w:cs="仿宋_GB2312"/>
          <w:color w:val="auto"/>
          <w:kern w:val="0"/>
          <w:sz w:val="32"/>
          <w:szCs w:val="32"/>
          <w:lang w:eastAsia="zh-CN"/>
        </w:rPr>
        <w:t>事业</w:t>
      </w:r>
      <w:r>
        <w:rPr>
          <w:rFonts w:hint="eastAsia" w:ascii="仿宋_GB2312" w:hAnsi="仿宋_GB2312" w:eastAsia="仿宋_GB2312" w:cs="仿宋_GB2312"/>
          <w:color w:val="auto"/>
          <w:kern w:val="0"/>
          <w:sz w:val="32"/>
          <w:szCs w:val="32"/>
        </w:rPr>
        <w:t>人员</w:t>
      </w:r>
      <w:r>
        <w:rPr>
          <w:rFonts w:hint="eastAsia" w:ascii="仿宋_GB2312" w:hAnsi="仿宋_GB2312" w:eastAsia="仿宋_GB2312" w:cs="仿宋_GB2312"/>
          <w:color w:val="auto"/>
          <w:kern w:val="0"/>
          <w:sz w:val="32"/>
          <w:szCs w:val="32"/>
          <w:lang w:eastAsia="zh-CN"/>
        </w:rPr>
        <w:t>医疗，本年款项从行政医疗中调整到</w:t>
      </w:r>
      <w:r>
        <w:rPr>
          <w:rFonts w:hint="eastAsia" w:ascii="仿宋_GB2312" w:hAnsi="仿宋_GB2312" w:eastAsia="仿宋_GB2312" w:cs="仿宋_GB2312"/>
          <w:kern w:val="0"/>
          <w:sz w:val="32"/>
          <w:szCs w:val="32"/>
        </w:rPr>
        <w:t>事业单位医疗</w:t>
      </w:r>
      <w:r>
        <w:rPr>
          <w:rFonts w:hint="eastAsia" w:ascii="仿宋_GB2312" w:hAnsi="仿宋_GB2312" w:eastAsia="仿宋_GB2312" w:cs="仿宋_GB2312"/>
          <w:kern w:val="0"/>
          <w:sz w:val="32"/>
          <w:szCs w:val="32"/>
          <w:lang w:eastAsia="zh-CN"/>
        </w:rPr>
        <w:t>款项。</w:t>
      </w:r>
    </w:p>
    <w:p>
      <w:pPr>
        <w:spacing w:line="60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kern w:val="0"/>
          <w:sz w:val="32"/>
          <w:szCs w:val="32"/>
        </w:rPr>
        <w:t>卫生健康支出（210类）行政事业单位医疗（11款）公务员医疗补助</w:t>
      </w:r>
      <w:r>
        <w:rPr>
          <w:rFonts w:hint="eastAsia" w:ascii="仿宋_GB2312" w:hAnsi="仿宋_GB2312" w:eastAsia="仿宋_GB2312" w:cs="仿宋_GB2312"/>
          <w:color w:val="auto"/>
          <w:kern w:val="0"/>
          <w:sz w:val="32"/>
          <w:szCs w:val="32"/>
        </w:rPr>
        <w:t>（0</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项）:202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年预算数为</w:t>
      </w:r>
      <w:r>
        <w:rPr>
          <w:rFonts w:hint="eastAsia" w:ascii="仿宋_GB2312" w:hAnsi="仿宋_GB2312" w:eastAsia="仿宋_GB2312" w:cs="仿宋_GB2312"/>
          <w:color w:val="auto"/>
          <w:kern w:val="0"/>
          <w:sz w:val="32"/>
          <w:szCs w:val="32"/>
          <w:lang w:val="en-US" w:eastAsia="zh-CN"/>
        </w:rPr>
        <w:t>6.23</w:t>
      </w:r>
      <w:r>
        <w:rPr>
          <w:rFonts w:hint="eastAsia" w:ascii="仿宋_GB2312" w:hAnsi="仿宋_GB2312" w:eastAsia="仿宋_GB2312" w:cs="仿宋_GB2312"/>
          <w:color w:val="auto"/>
          <w:kern w:val="0"/>
          <w:sz w:val="32"/>
          <w:szCs w:val="32"/>
        </w:rPr>
        <w:t>万元，比上年预算数</w:t>
      </w:r>
      <w:r>
        <w:rPr>
          <w:rFonts w:hint="eastAsia" w:ascii="仿宋_GB2312" w:hAnsi="仿宋_GB2312" w:eastAsia="仿宋_GB2312" w:cs="仿宋_GB2312"/>
          <w:color w:val="auto"/>
          <w:kern w:val="0"/>
          <w:sz w:val="32"/>
          <w:szCs w:val="32"/>
          <w:lang w:eastAsia="zh-CN"/>
        </w:rPr>
        <w:t>增加</w:t>
      </w:r>
      <w:r>
        <w:rPr>
          <w:rFonts w:hint="eastAsia" w:ascii="仿宋_GB2312" w:hAnsi="仿宋_GB2312" w:eastAsia="仿宋_GB2312" w:cs="仿宋_GB2312"/>
          <w:color w:val="auto"/>
          <w:kern w:val="0"/>
          <w:sz w:val="32"/>
          <w:szCs w:val="32"/>
          <w:lang w:val="en-US" w:eastAsia="zh-CN"/>
        </w:rPr>
        <w:t>0.25</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color w:val="auto"/>
          <w:kern w:val="0"/>
          <w:sz w:val="32"/>
          <w:szCs w:val="32"/>
          <w:lang w:eastAsia="zh-CN"/>
        </w:rPr>
        <w:t>增加</w:t>
      </w:r>
      <w:r>
        <w:rPr>
          <w:rFonts w:hint="eastAsia" w:ascii="仿宋_GB2312" w:hAnsi="仿宋_GB2312" w:eastAsia="仿宋_GB2312" w:cs="仿宋_GB2312"/>
          <w:color w:val="auto"/>
          <w:kern w:val="0"/>
          <w:sz w:val="32"/>
          <w:szCs w:val="32"/>
          <w:lang w:val="en-US" w:eastAsia="zh-CN"/>
        </w:rPr>
        <w:t>4.18</w:t>
      </w:r>
      <w:r>
        <w:rPr>
          <w:rFonts w:hint="eastAsia" w:ascii="仿宋_GB2312" w:hAnsi="仿宋_GB2312" w:eastAsia="仿宋_GB2312" w:cs="仿宋_GB2312"/>
          <w:color w:val="auto"/>
          <w:kern w:val="0"/>
          <w:sz w:val="32"/>
          <w:szCs w:val="32"/>
        </w:rPr>
        <w:t>%，主要原因是</w:t>
      </w:r>
      <w:r>
        <w:rPr>
          <w:rFonts w:hint="eastAsia" w:ascii="仿宋_GB2312" w:hAnsi="仿宋_GB2312" w:eastAsia="仿宋_GB2312" w:cs="仿宋_GB2312"/>
          <w:color w:val="auto"/>
          <w:kern w:val="0"/>
          <w:sz w:val="32"/>
          <w:szCs w:val="32"/>
          <w:lang w:eastAsia="zh-CN"/>
        </w:rPr>
        <w:t>本年医保基数调整公务员医疗补助增加</w:t>
      </w:r>
      <w:r>
        <w:rPr>
          <w:rFonts w:hint="eastAsia" w:ascii="仿宋_GB2312" w:hAnsi="仿宋_GB2312" w:eastAsia="仿宋_GB2312" w:cs="仿宋_GB2312"/>
          <w:kern w:val="0"/>
          <w:sz w:val="32"/>
          <w:szCs w:val="32"/>
          <w:lang w:eastAsia="zh-CN"/>
        </w:rPr>
        <w:t>。</w:t>
      </w:r>
    </w:p>
    <w:p>
      <w:pPr>
        <w:spacing w:line="600" w:lineRule="exact"/>
        <w:ind w:firstLine="420" w:firstLineChars="200"/>
        <w:rPr>
          <w:rFonts w:hint="eastAsia" w:ascii="仿宋_GB2312" w:hAnsi="仿宋_GB2312" w:eastAsia="仿宋_GB2312" w:cs="仿宋_GB2312"/>
          <w:kern w:val="0"/>
          <w:sz w:val="32"/>
          <w:szCs w:val="32"/>
        </w:rPr>
      </w:pPr>
      <w:r>
        <w:rPr>
          <w:rFonts w:hint="eastAsia"/>
          <w:lang w:val="en-US" w:eastAsia="zh-CN"/>
        </w:rPr>
        <w:t xml:space="preserve">  </w:t>
      </w:r>
      <w:r>
        <w:rPr>
          <w:rFonts w:hint="eastAsia" w:ascii="仿宋_GB2312" w:hAnsi="仿宋_GB2312" w:eastAsia="仿宋_GB2312" w:cs="仿宋_GB2312"/>
          <w:color w:val="auto"/>
          <w:kern w:val="0"/>
          <w:sz w:val="32"/>
          <w:szCs w:val="32"/>
          <w:highlight w:val="none"/>
          <w:lang w:val="en-US" w:eastAsia="zh-CN"/>
        </w:rPr>
        <w:t xml:space="preserve">6. </w:t>
      </w:r>
      <w:r>
        <w:rPr>
          <w:rFonts w:hint="eastAsia" w:ascii="仿宋_GB2312" w:hAnsi="仿宋_GB2312" w:eastAsia="仿宋_GB2312" w:cs="仿宋_GB2312"/>
          <w:kern w:val="0"/>
          <w:sz w:val="32"/>
          <w:szCs w:val="32"/>
        </w:rPr>
        <w:t>卫生健康支出（210类）行政事业单位医疗（11款）其他行政事业单位医疗支出（99项）:202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年预算数为0.</w:t>
      </w:r>
      <w:r>
        <w:rPr>
          <w:rFonts w:hint="eastAsia" w:ascii="仿宋_GB2312" w:hAnsi="仿宋_GB2312" w:eastAsia="仿宋_GB2312" w:cs="仿宋_GB2312"/>
          <w:kern w:val="0"/>
          <w:sz w:val="32"/>
          <w:szCs w:val="32"/>
          <w:lang w:val="en-US" w:eastAsia="zh-CN"/>
        </w:rPr>
        <w:t>17</w:t>
      </w:r>
      <w:r>
        <w:rPr>
          <w:rFonts w:hint="eastAsia" w:ascii="仿宋_GB2312" w:hAnsi="仿宋_GB2312" w:eastAsia="仿宋_GB2312" w:cs="仿宋_GB2312"/>
          <w:kern w:val="0"/>
          <w:sz w:val="32"/>
          <w:szCs w:val="32"/>
        </w:rPr>
        <w:t>万元，比上年预算数增加0.</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750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本年将工伤保险、失业保险预算列些款项</w:t>
      </w:r>
      <w:r>
        <w:rPr>
          <w:rFonts w:hint="eastAsia" w:ascii="仿宋_GB2312" w:hAnsi="仿宋_GB2312" w:eastAsia="仿宋_GB2312" w:cs="仿宋_GB2312"/>
          <w:kern w:val="0"/>
          <w:sz w:val="32"/>
          <w:szCs w:val="32"/>
        </w:rPr>
        <w:t>。</w:t>
      </w:r>
    </w:p>
    <w:p>
      <w:pPr>
        <w:spacing w:line="560" w:lineRule="exact"/>
        <w:ind w:firstLine="652"/>
        <w:rPr>
          <w:rFonts w:hint="eastAsia" w:ascii="仿宋_GB2312" w:hAnsi="宋体" w:eastAsia="仿宋_GB2312" w:cs="宋体"/>
          <w:kern w:val="0"/>
          <w:sz w:val="32"/>
          <w:szCs w:val="32"/>
        </w:rPr>
      </w:pPr>
      <w:r>
        <w:rPr>
          <w:rFonts w:hint="eastAsia" w:ascii="仿宋_GB2312" w:hAnsi="仿宋_GB2312" w:eastAsia="仿宋_GB2312" w:cs="仿宋_GB2312"/>
          <w:color w:val="auto"/>
          <w:kern w:val="0"/>
          <w:sz w:val="32"/>
          <w:szCs w:val="32"/>
          <w:highlight w:val="none"/>
          <w:lang w:val="en-US" w:eastAsia="zh-CN"/>
        </w:rPr>
        <w:t xml:space="preserve">7. </w:t>
      </w:r>
      <w:r>
        <w:rPr>
          <w:rFonts w:hint="eastAsia" w:ascii="仿宋_GB2312" w:hAnsi="仿宋_GB2312" w:eastAsia="仿宋_GB2312" w:cs="仿宋_GB2312"/>
          <w:kern w:val="0"/>
          <w:sz w:val="32"/>
          <w:szCs w:val="32"/>
        </w:rPr>
        <w:t>交通运输支出（214类）公路水路运输（01款）行政运行（01项）：202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年初预算数为341.59万元，比上年预算数增加</w:t>
      </w:r>
      <w:r>
        <w:rPr>
          <w:rFonts w:hint="eastAsia" w:ascii="仿宋_GB2312" w:hAnsi="仿宋_GB2312" w:eastAsia="仿宋_GB2312" w:cs="仿宋_GB2312"/>
          <w:kern w:val="0"/>
          <w:sz w:val="32"/>
          <w:szCs w:val="32"/>
          <w:lang w:val="en-US" w:eastAsia="zh-CN"/>
        </w:rPr>
        <w:t>31.26</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10.07</w:t>
      </w:r>
      <w:r>
        <w:rPr>
          <w:rFonts w:hint="eastAsia" w:ascii="仿宋_GB2312" w:hAnsi="仿宋_GB2312" w:eastAsia="仿宋_GB2312" w:cs="仿宋_GB2312"/>
          <w:kern w:val="0"/>
          <w:sz w:val="32"/>
          <w:szCs w:val="32"/>
        </w:rPr>
        <w:t>%，主要原因是人员</w:t>
      </w:r>
      <w:r>
        <w:rPr>
          <w:rFonts w:hint="eastAsia" w:ascii="仿宋_GB2312" w:hAnsi="宋体" w:eastAsia="仿宋_GB2312" w:cs="宋体"/>
          <w:kern w:val="0"/>
          <w:sz w:val="32"/>
          <w:szCs w:val="32"/>
        </w:rPr>
        <w:t>增资因素。</w:t>
      </w:r>
    </w:p>
    <w:p>
      <w:pPr>
        <w:spacing w:line="560" w:lineRule="exact"/>
        <w:ind w:firstLine="652"/>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kern w:val="0"/>
          <w:sz w:val="32"/>
          <w:szCs w:val="32"/>
        </w:rPr>
        <w:t>交通运输支出（214类）公路水路运输（01款）公路建设（04项）：202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年初预算数为</w:t>
      </w:r>
      <w:r>
        <w:rPr>
          <w:rFonts w:hint="eastAsia" w:ascii="仿宋_GB2312" w:hAnsi="仿宋_GB2312" w:eastAsia="仿宋_GB2312" w:cs="仿宋_GB2312"/>
          <w:kern w:val="0"/>
          <w:sz w:val="32"/>
          <w:szCs w:val="32"/>
          <w:lang w:val="en-US" w:eastAsia="zh-CN"/>
        </w:rPr>
        <w:t>2465.44</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2155.11</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1024.63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本年</w:t>
      </w:r>
      <w:r>
        <w:rPr>
          <w:rFonts w:hint="eastAsia" w:ascii="仿宋_GB2312" w:hAnsi="仿宋_GB2312" w:eastAsia="仿宋_GB2312" w:cs="仿宋_GB2312"/>
          <w:kern w:val="0"/>
          <w:sz w:val="32"/>
          <w:szCs w:val="32"/>
        </w:rPr>
        <w:t>公路建设项目增加。</w:t>
      </w:r>
    </w:p>
    <w:p>
      <w:pPr>
        <w:spacing w:line="560" w:lineRule="exact"/>
        <w:ind w:firstLine="65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.交通运输支出（214类）公路水路运输（01款）公路养护（06项）：202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年初预算数为585.84万元，比上年预算数增加</w:t>
      </w:r>
      <w:r>
        <w:rPr>
          <w:rFonts w:hint="eastAsia" w:ascii="仿宋_GB2312" w:hAnsi="仿宋_GB2312" w:eastAsia="仿宋_GB2312" w:cs="仿宋_GB2312"/>
          <w:kern w:val="0"/>
          <w:sz w:val="32"/>
          <w:szCs w:val="32"/>
          <w:lang w:val="en-US" w:eastAsia="zh-CN"/>
        </w:rPr>
        <w:t>183.84</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45.73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本年</w:t>
      </w:r>
      <w:r>
        <w:rPr>
          <w:rFonts w:hint="eastAsia" w:ascii="仿宋_GB2312" w:hAnsi="仿宋_GB2312" w:eastAsia="仿宋_GB2312" w:cs="仿宋_GB2312"/>
          <w:kern w:val="0"/>
          <w:sz w:val="32"/>
          <w:szCs w:val="32"/>
        </w:rPr>
        <w:t>公路养护</w:t>
      </w:r>
      <w:r>
        <w:rPr>
          <w:rFonts w:hint="eastAsia" w:ascii="仿宋_GB2312" w:hAnsi="仿宋_GB2312" w:eastAsia="仿宋_GB2312" w:cs="仿宋_GB2312"/>
          <w:kern w:val="0"/>
          <w:sz w:val="32"/>
          <w:szCs w:val="32"/>
          <w:lang w:eastAsia="zh-CN"/>
        </w:rPr>
        <w:t>上级下达</w:t>
      </w:r>
      <w:r>
        <w:rPr>
          <w:rFonts w:hint="eastAsia" w:ascii="仿宋_GB2312" w:hAnsi="仿宋_GB2312" w:eastAsia="仿宋_GB2312" w:cs="仿宋_GB2312"/>
          <w:kern w:val="0"/>
          <w:sz w:val="32"/>
          <w:szCs w:val="32"/>
        </w:rPr>
        <w:t>资金预算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rPr>
        <w:t>。</w:t>
      </w:r>
    </w:p>
    <w:p>
      <w:pPr>
        <w:spacing w:line="560" w:lineRule="exact"/>
        <w:ind w:firstLine="65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.资源勘探工业信息等支出（215类）支持中小企业发展和管理支出（08款）其他支持中小企业发展和管理支出（99项）：202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年初预算数为1316.00万元，比上年预算数增加</w:t>
      </w:r>
      <w:r>
        <w:rPr>
          <w:rFonts w:hint="eastAsia" w:ascii="仿宋_GB2312" w:hAnsi="仿宋_GB2312" w:eastAsia="仿宋_GB2312" w:cs="仿宋_GB2312"/>
          <w:kern w:val="0"/>
          <w:sz w:val="32"/>
          <w:szCs w:val="32"/>
          <w:lang w:val="en-US" w:eastAsia="zh-CN"/>
        </w:rPr>
        <w:t>836</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174.17</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新能源公交车购置</w:t>
      </w:r>
      <w:r>
        <w:rPr>
          <w:rFonts w:hint="eastAsia" w:ascii="仿宋_GB2312" w:hAnsi="仿宋_GB2312" w:eastAsia="仿宋_GB2312" w:cs="仿宋_GB2312"/>
          <w:kern w:val="0"/>
          <w:sz w:val="32"/>
          <w:szCs w:val="32"/>
        </w:rPr>
        <w:t>费用</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rPr>
        <w:t>。</w:t>
      </w:r>
    </w:p>
    <w:p>
      <w:pPr>
        <w:spacing w:line="560" w:lineRule="exact"/>
        <w:ind w:firstLine="65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.住房保障支出（221类）住房改革支出（02款）住房公积金（</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年初预算数为</w:t>
      </w:r>
      <w:r>
        <w:rPr>
          <w:rFonts w:hint="eastAsia" w:ascii="仿宋_GB2312" w:hAnsi="仿宋_GB2312" w:eastAsia="仿宋_GB2312" w:cs="仿宋_GB2312"/>
          <w:kern w:val="0"/>
          <w:sz w:val="32"/>
          <w:szCs w:val="32"/>
          <w:lang w:val="en-US" w:eastAsia="zh-CN"/>
        </w:rPr>
        <w:t>37.78</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5.29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16.28</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住房公积金基数调整，住房公积金增加</w:t>
      </w:r>
      <w:r>
        <w:rPr>
          <w:rFonts w:hint="eastAsia" w:ascii="仿宋_GB2312" w:hAnsi="仿宋_GB2312" w:eastAsia="仿宋_GB2312" w:cs="仿宋_GB2312"/>
          <w:kern w:val="0"/>
          <w:sz w:val="32"/>
          <w:szCs w:val="32"/>
        </w:rPr>
        <w:t>。</w:t>
      </w:r>
    </w:p>
    <w:p>
      <w:pPr>
        <w:spacing w:line="560" w:lineRule="exact"/>
        <w:ind w:firstLine="652"/>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呼图壁县通运输局2024年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呼图壁县交通运输局</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一般公共预算基本457.32</w:t>
      </w:r>
      <w:r>
        <w:rPr>
          <w:rFonts w:hint="eastAsia" w:ascii="仿宋_GB2312" w:hAnsi="宋体" w:eastAsia="仿宋_GB2312" w:cs="宋体"/>
          <w:color w:val="auto"/>
          <w:spacing w:val="-6"/>
          <w:kern w:val="0"/>
          <w:sz w:val="32"/>
          <w:szCs w:val="32"/>
          <w:highlight w:val="none"/>
          <w:lang w:eastAsia="zh-CN"/>
        </w:rPr>
        <w:t>万元</w:t>
      </w:r>
      <w:r>
        <w:rPr>
          <w:rFonts w:hint="eastAsia" w:ascii="仿宋_GB2312" w:hAnsi="宋体" w:eastAsia="仿宋_GB2312" w:cs="宋体"/>
          <w:color w:val="auto"/>
          <w:spacing w:val="-6"/>
          <w:kern w:val="0"/>
          <w:sz w:val="32"/>
          <w:szCs w:val="32"/>
          <w:highlight w:val="none"/>
        </w:rPr>
        <w:t>， 其中：</w:t>
      </w:r>
    </w:p>
    <w:p>
      <w:pPr>
        <w:pStyle w:val="5"/>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人员经费437.34万元，主要包括：基本工资、津贴补贴、奖金、绩效工资、机关事业单位基本养老保险缴费、职工基本医疗保险缴费、公务员医疗补助缴费、其他社会保障缴费、住房公积金、其他工资福利支出</w:t>
      </w:r>
      <w:r>
        <w:rPr>
          <w:rFonts w:hint="eastAsia" w:ascii="仿宋_GB2312" w:hAnsi="宋体" w:eastAsia="仿宋_GB2312" w:cs="宋体"/>
          <w:color w:val="auto"/>
          <w:kern w:val="0"/>
          <w:sz w:val="32"/>
          <w:szCs w:val="32"/>
          <w:highlight w:val="none"/>
          <w:lang w:eastAsia="zh-CN"/>
        </w:rPr>
        <w:t>、退休费、奖励金。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公用经费19.98万元，主要包括：办公费、电费、邮电费、取暖费、差旅费、工会经费、公务用车运行维护费。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ascii="仿宋_GB2312" w:hAnsi="黑体" w:eastAsia="仿宋_GB2312"/>
          <w:b/>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呼图壁县通运输局2024年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0" w:leftChars="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：2024年车辆购置税收入补助地方（第一批）用于普通省道及农村公路建设“以奖代补”项目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昌州财建（2023）159号关于提前下达2024年车辆购置税收入补助地方（第一批）用于普通省道及农村公路建设“以奖代补”资金预算的通知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2465.44</w:t>
      </w:r>
      <w:r>
        <w:rPr>
          <w:rFonts w:hint="eastAsia" w:ascii="仿宋_GB2312" w:hAnsi="宋体" w:eastAsia="仿宋_GB2312" w:cs="宋体"/>
          <w:color w:val="auto"/>
          <w:kern w:val="0"/>
          <w:sz w:val="32"/>
          <w:szCs w:val="32"/>
          <w:highlight w:val="none"/>
          <w:lang w:eastAsia="zh-CN"/>
        </w:rPr>
        <w:t>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该资金主要用于</w:t>
      </w:r>
      <w:r>
        <w:rPr>
          <w:rFonts w:hint="eastAsia" w:ascii="仿宋_GB2312" w:hAnsi="宋体" w:eastAsia="仿宋_GB2312" w:cs="宋体"/>
          <w:color w:val="auto"/>
          <w:kern w:val="0"/>
          <w:sz w:val="32"/>
          <w:szCs w:val="32"/>
          <w:highlight w:val="none"/>
          <w:lang w:val="en-US" w:eastAsia="zh-CN"/>
        </w:rPr>
        <w:t>2024年农村公路建设Y222-牛场乡村道路建设项目施工费605.18万元；白泉湖-大泉村-小泉村乡村多道路建设项目施工费1429.45万元；2024年养护大中修工程施工费133.56万元；2024年生命防护工程施工费297.25万元。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2024年政府还贷二级公路取消收费后补助资金用于农村公路养护大中修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昌州财建（2023）160号关于提前下达2024年政府还贷二级公路取消收费后补助资金预算的通知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：183.84</w:t>
      </w:r>
      <w:r>
        <w:rPr>
          <w:rFonts w:hint="eastAsia" w:ascii="仿宋_GB2312" w:hAnsi="黑体" w:eastAsia="仿宋_GB2312"/>
          <w:color w:val="auto"/>
          <w:sz w:val="32"/>
          <w:szCs w:val="32"/>
          <w:highlight w:val="none"/>
          <w:lang w:eastAsia="zh-CN"/>
        </w:rPr>
        <w:t>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该资金用于小泉村</w:t>
      </w:r>
      <w:r>
        <w:rPr>
          <w:rFonts w:hint="eastAsia" w:ascii="仿宋_GB2312" w:hAnsi="黑体" w:eastAsia="仿宋_GB2312"/>
          <w:color w:val="auto"/>
          <w:sz w:val="32"/>
          <w:szCs w:val="32"/>
          <w:highlight w:val="none"/>
          <w:lang w:val="en-US" w:eastAsia="zh-CN"/>
        </w:rPr>
        <w:t>-小泉村三组公路养护大中修项目施工费用183.84万元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2024年中央对地方成品油税费改革转移支付资金用于农村公路养护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昌州财建（2023）130号关于提前下达2024年中央对地方成品油税费改革转移支付资金用于农村公路养护支出预算的通知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：134</w:t>
      </w:r>
      <w:r>
        <w:rPr>
          <w:rFonts w:hint="eastAsia" w:ascii="仿宋_GB2312" w:hAnsi="黑体" w:eastAsia="仿宋_GB2312"/>
          <w:color w:val="auto"/>
          <w:sz w:val="32"/>
          <w:szCs w:val="32"/>
          <w:highlight w:val="none"/>
          <w:lang w:eastAsia="zh-CN"/>
        </w:rPr>
        <w:t>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该资金用于</w:t>
      </w:r>
      <w:r>
        <w:rPr>
          <w:rFonts w:hint="eastAsia" w:ascii="仿宋_GB2312" w:hAnsi="黑体" w:eastAsia="仿宋_GB2312"/>
          <w:color w:val="auto"/>
          <w:sz w:val="32"/>
          <w:szCs w:val="32"/>
          <w:highlight w:val="none"/>
          <w:lang w:val="en-US" w:eastAsia="zh-CN"/>
        </w:rPr>
        <w:t>2024年农村公路小修养护工程施工费用134万元。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更新新能源公交车项目</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2024年非定额</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《呼图壁县城市公交行业成本规制及财政补贴办法》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836</w:t>
      </w:r>
      <w:r>
        <w:rPr>
          <w:rFonts w:hint="eastAsia" w:ascii="仿宋_GB2312" w:hAnsi="宋体" w:eastAsia="仿宋_GB2312" w:cs="宋体"/>
          <w:color w:val="auto"/>
          <w:kern w:val="0"/>
          <w:sz w:val="32"/>
          <w:szCs w:val="32"/>
          <w:highlight w:val="none"/>
          <w:lang w:eastAsia="zh-CN"/>
        </w:rPr>
        <w:t>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用于</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eastAsia="zh-CN"/>
        </w:rPr>
        <w:t>新能源公交车的购置分期付款</w:t>
      </w:r>
      <w:r>
        <w:rPr>
          <w:rFonts w:hint="eastAsia" w:ascii="仿宋_GB2312" w:hAnsi="宋体" w:eastAsia="仿宋_GB2312" w:cs="宋体"/>
          <w:color w:val="auto"/>
          <w:kern w:val="0"/>
          <w:sz w:val="32"/>
          <w:szCs w:val="32"/>
          <w:highlight w:val="none"/>
          <w:lang w:val="en-US" w:eastAsia="zh-CN"/>
        </w:rPr>
        <w:t>418万元；2022年新能源公交车购置分期付款167.2万元；2021年新能源公交车购置分期付款250.08万元。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：农村公路养护管理费（县级配套）项目-清雪设备购置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w:t>
      </w:r>
      <w:r>
        <w:rPr>
          <w:rFonts w:hint="eastAsia" w:ascii="仿宋_GB2312" w:hAnsi="宋体" w:eastAsia="仿宋_GB2312" w:cs="宋体"/>
          <w:color w:val="auto"/>
          <w:kern w:val="0"/>
          <w:sz w:val="32"/>
          <w:szCs w:val="32"/>
          <w:highlight w:val="none"/>
          <w:lang w:eastAsia="zh-CN"/>
        </w:rPr>
        <w:t>自治州深化农村公路管理养护体制改革实施方案）</w:t>
      </w:r>
      <w:r>
        <w:rPr>
          <w:rFonts w:hint="eastAsia" w:ascii="仿宋_GB2312" w:hAnsi="宋体" w:eastAsia="仿宋_GB2312" w:cs="宋体"/>
          <w:color w:val="auto"/>
          <w:kern w:val="0"/>
          <w:sz w:val="32"/>
          <w:szCs w:val="32"/>
          <w:highlight w:val="none"/>
          <w:lang w:val="en-US" w:eastAsia="zh-CN"/>
        </w:rPr>
        <w:t>2024年非定额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ascii="仿宋_GB2312" w:hAnsi="黑体"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268万元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w:t>
      </w:r>
      <w:r>
        <w:rPr>
          <w:rFonts w:hint="eastAsia" w:ascii="仿宋_GB2312" w:hAnsi="黑体" w:eastAsia="仿宋_GB2312"/>
          <w:color w:val="auto"/>
          <w:sz w:val="32"/>
          <w:szCs w:val="32"/>
          <w:highlight w:val="none"/>
          <w:lang w:val="en-US" w:eastAsia="zh-CN"/>
        </w:rPr>
        <w:t>118万用于</w:t>
      </w:r>
      <w:r>
        <w:rPr>
          <w:rFonts w:hint="eastAsia" w:ascii="仿宋_GB2312" w:hAnsi="宋体" w:eastAsia="仿宋_GB2312" w:cs="宋体"/>
          <w:color w:val="auto"/>
          <w:kern w:val="0"/>
          <w:sz w:val="32"/>
          <w:szCs w:val="32"/>
          <w:highlight w:val="none"/>
        </w:rPr>
        <w:t>购置清雪设备</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150万元用于农村公路养护支出。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公交公司成本规制费项目</w:t>
      </w:r>
      <w:r>
        <w:rPr>
          <w:rFonts w:hint="eastAsia" w:ascii="仿宋_GB2312" w:hAnsi="宋体" w:eastAsia="仿宋_GB2312" w:cs="宋体"/>
          <w:color w:val="auto"/>
          <w:kern w:val="0"/>
          <w:sz w:val="32"/>
          <w:szCs w:val="32"/>
          <w:highlight w:val="none"/>
          <w:lang w:eastAsia="zh-CN"/>
        </w:rPr>
        <w:t>（</w:t>
      </w:r>
      <w:r>
        <w:rPr>
          <w:rFonts w:hint="eastAsia" w:ascii="仿宋_GB2312" w:hAnsi="黑体" w:eastAsia="仿宋_GB2312"/>
          <w:color w:val="auto"/>
          <w:sz w:val="32"/>
          <w:szCs w:val="32"/>
          <w:highlight w:val="none"/>
          <w:lang w:val="en-US" w:eastAsia="zh-CN"/>
        </w:rPr>
        <w:t>2024年非定额</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《呼图壁县城市公交成本与收入规制实施办法》及运营情况报告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480万元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lang w:eastAsia="zh-CN"/>
        </w:rPr>
        <w:t>用于每月支付呼图壁县公共交通有限责任公</w:t>
      </w:r>
      <w:r>
        <w:rPr>
          <w:rFonts w:hint="eastAsia" w:ascii="仿宋_GB2312" w:hAnsi="仿宋_GB2312" w:eastAsia="仿宋_GB2312" w:cs="仿宋_GB2312"/>
          <w:sz w:val="32"/>
          <w:szCs w:val="32"/>
          <w:highlight w:val="none"/>
          <w:lang w:val="en-US" w:eastAsia="zh-CN"/>
        </w:rPr>
        <w:t>40万元成本规制费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呼图壁县交通运输局2024年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政府性基金支出预算支出  2064.75万元。与上年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1061.24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105.75</w:t>
      </w:r>
      <w:r>
        <w:rPr>
          <w:rFonts w:hint="eastAsia" w:ascii="仿宋_GB2312" w:hAnsi="仿宋_GB2312" w:eastAsia="仿宋_GB2312" w:cs="仿宋_GB2312"/>
          <w:color w:val="auto"/>
          <w:kern w:val="0"/>
          <w:sz w:val="32"/>
          <w:szCs w:val="32"/>
          <w:highlight w:val="none"/>
        </w:rPr>
        <w:t>%。主要原因是其他国有土地使用权出让收入安排支出</w:t>
      </w:r>
      <w:r>
        <w:rPr>
          <w:rFonts w:hint="eastAsia" w:ascii="仿宋_GB2312" w:hAnsi="仿宋_GB2312" w:eastAsia="仿宋_GB2312" w:cs="仿宋_GB2312"/>
          <w:color w:val="auto"/>
          <w:kern w:val="0"/>
          <w:sz w:val="32"/>
          <w:szCs w:val="32"/>
          <w:highlight w:val="none"/>
          <w:lang w:eastAsia="zh-CN"/>
        </w:rPr>
        <w:t>公共基础设施项目资金支出增加</w:t>
      </w:r>
      <w:r>
        <w:rPr>
          <w:rFonts w:hint="eastAsia" w:ascii="仿宋_GB2312" w:hAnsi="仿宋_GB2312" w:eastAsia="仿宋_GB2312" w:cs="仿宋_GB2312"/>
          <w:color w:val="auto"/>
          <w:kern w:val="0"/>
          <w:sz w:val="32"/>
          <w:szCs w:val="32"/>
          <w:highlight w:val="none"/>
        </w:rPr>
        <w:t xml:space="preserve">。其中：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1．城乡社区支出（212类）国有土地使用权出让收入安排的支出（</w:t>
      </w:r>
      <w:r>
        <w:rPr>
          <w:rFonts w:hint="eastAsia" w:ascii="仿宋_GB2312" w:hAnsi="仿宋_GB2312" w:eastAsia="仿宋_GB2312" w:cs="仿宋_GB2312"/>
          <w:color w:val="auto"/>
          <w:sz w:val="32"/>
          <w:szCs w:val="32"/>
          <w:highlight w:val="none"/>
          <w:lang w:val="en-US" w:eastAsia="zh-CN"/>
        </w:rPr>
        <w:t>08</w:t>
      </w:r>
      <w:r>
        <w:rPr>
          <w:rFonts w:hint="eastAsia" w:ascii="仿宋_GB2312" w:hAnsi="仿宋_GB2312" w:eastAsia="仿宋_GB2312" w:cs="仿宋_GB2312"/>
          <w:color w:val="auto"/>
          <w:sz w:val="32"/>
          <w:szCs w:val="32"/>
          <w:highlight w:val="none"/>
        </w:rPr>
        <w:t>款）其他国有土地使用权出让收入安排的支出（99项）支出2064.75 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1061.24</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105.75</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主要是用于</w:t>
      </w:r>
      <w:r>
        <w:rPr>
          <w:rFonts w:hint="eastAsia" w:ascii="仿宋_GB2312" w:hAnsi="仿宋_GB2312" w:eastAsia="仿宋_GB2312" w:cs="仿宋_GB2312"/>
          <w:color w:val="auto"/>
          <w:kern w:val="0"/>
          <w:sz w:val="32"/>
          <w:szCs w:val="32"/>
          <w:highlight w:val="none"/>
          <w:lang w:eastAsia="zh-CN"/>
        </w:rPr>
        <w:t>公共基础设施项目资金支出增加</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呼图壁县交通运输局2024年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呼图壁县交通运输局2024年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呼图壁县交通运输局2024年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呼图壁县交通运输局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本年度未安排预算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呼图壁县交通运输局2024年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呼图壁县交通运输局2024年</w:t>
      </w:r>
      <w:r>
        <w:rPr>
          <w:rFonts w:hint="eastAsia" w:ascii="仿宋_GB2312" w:hAnsi="仿宋_GB2312" w:eastAsia="仿宋_GB2312" w:cs="仿宋_GB2312"/>
          <w:color w:val="auto"/>
          <w:kern w:val="0"/>
          <w:sz w:val="32"/>
          <w:szCs w:val="32"/>
          <w:highlight w:val="none"/>
          <w:lang w:val="en-US" w:eastAsia="zh-CN"/>
        </w:rPr>
        <w:t>上年结转结余148.64万元，包括：财政拨款148.64万元，非财政拨款0万元，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1.突发公共卫生事件应急处置6.64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主要用于：疫情期间相关费用支出。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2.农村公路建设项目前期费142万元，</w:t>
      </w:r>
      <w:r>
        <w:rPr>
          <w:rFonts w:hint="eastAsia" w:ascii="仿宋_GB2312" w:hAnsi="仿宋_GB2312" w:eastAsia="仿宋_GB2312" w:cs="仿宋_GB2312"/>
          <w:color w:val="auto"/>
          <w:kern w:val="0"/>
          <w:sz w:val="32"/>
          <w:szCs w:val="32"/>
          <w:highlight w:val="none"/>
          <w:lang w:val="en-US" w:eastAsia="zh-CN"/>
        </w:rPr>
        <w:t>主要用于：农村公路建设勘察设计、监理、施工图编制等费用支出。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呼图壁县交通运输局2024年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19.98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3.07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增长18.15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工会经费预算增加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呼图壁县交通运输局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128.14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1.92</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118</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8.22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呼图壁县交通运输局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128.14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128.14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呼图壁县交通运输局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kern w:val="0"/>
          <w:sz w:val="32"/>
          <w:szCs w:val="32"/>
        </w:rPr>
        <w:t>房屋456平方米，价值13.44万元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kern w:val="0"/>
          <w:sz w:val="32"/>
          <w:szCs w:val="32"/>
        </w:rPr>
        <w:t>车辆8辆，价值 138.08万元；其中：一般公务用车4辆，价值50.29万元；执法执勤用车2辆，价值43.57万元；其他车辆2辆，价值44.22万元</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10.07</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280.35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整体预算绩效目标1个，涉及金额7670.28万元；当年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涉及预算金额6432.03万元；当年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385</w:t>
      </w:r>
      <w:r>
        <w:rPr>
          <w:rFonts w:hint="eastAsia" w:ascii="仿宋_GB2312" w:hAnsi="仿宋_GB2312" w:eastAsia="仿宋_GB2312" w:cs="仿宋_GB2312"/>
          <w:color w:val="auto"/>
          <w:kern w:val="0"/>
          <w:sz w:val="32"/>
          <w:szCs w:val="32"/>
          <w:highlight w:val="none"/>
        </w:rPr>
        <w:t>万元。具体情况见下表：</w:t>
      </w: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rPr>
      </w:pPr>
    </w:p>
    <w:p>
      <w:pPr>
        <w:rPr>
          <w:rFonts w:hint="eastAsia" w:ascii="仿宋_GB2312" w:hAnsi="仿宋_GB2312" w:eastAsia="仿宋_GB2312" w:cs="仿宋_GB2312"/>
          <w:color w:val="auto"/>
          <w:kern w:val="0"/>
          <w:sz w:val="32"/>
          <w:szCs w:val="32"/>
          <w:highlight w:val="none"/>
        </w:rPr>
      </w:pPr>
    </w:p>
    <w:tbl>
      <w:tblPr>
        <w:tblStyle w:val="6"/>
        <w:tblW w:w="83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14"/>
        <w:gridCol w:w="683"/>
        <w:gridCol w:w="924"/>
        <w:gridCol w:w="1162"/>
        <w:gridCol w:w="2103"/>
        <w:gridCol w:w="942"/>
        <w:gridCol w:w="1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6" w:hRule="atLeast"/>
        </w:trPr>
        <w:tc>
          <w:tcPr>
            <w:tcW w:w="8333"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8333" w:type="dxa"/>
            <w:gridSpan w:val="7"/>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12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部门（单位）名称（盖章）</w:t>
            </w:r>
          </w:p>
        </w:tc>
        <w:tc>
          <w:tcPr>
            <w:tcW w:w="703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129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部门（单位）联系人</w:t>
            </w:r>
          </w:p>
        </w:tc>
        <w:tc>
          <w:tcPr>
            <w:tcW w:w="2086"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李瑞芳</w:t>
            </w:r>
          </w:p>
        </w:tc>
        <w:tc>
          <w:tcPr>
            <w:tcW w:w="210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联系电话：</w:t>
            </w:r>
          </w:p>
        </w:tc>
        <w:tc>
          <w:tcPr>
            <w:tcW w:w="284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18099000026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11" w:hRule="atLeast"/>
        </w:trPr>
        <w:tc>
          <w:tcPr>
            <w:tcW w:w="3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年度绩效目标</w:t>
            </w:r>
          </w:p>
        </w:tc>
        <w:tc>
          <w:tcPr>
            <w:tcW w:w="4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1、完成35.48公里农村公路建设任务；                                                       </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 xml:space="preserve">2、完成呼图壁县二级客运站建设。 </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3、完成呼图壁通用机场项目选址工作。</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 xml:space="preserve">4、完成道路巡查100次，加大县乡道路超载超限治理、非法营运等执法力度，实现公路巡查常态化。               </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 xml:space="preserve">5、城市客运企业安全生产及安全隐患排查12次。                                                         </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6、完成490辆出租车道路运输证审验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6" w:hRule="atLeast"/>
        </w:trPr>
        <w:tc>
          <w:tcPr>
            <w:tcW w:w="129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年度预算（万元）</w:t>
            </w:r>
          </w:p>
        </w:tc>
        <w:tc>
          <w:tcPr>
            <w:tcW w:w="70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12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财政资金（万元）</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上级资金</w:t>
            </w:r>
          </w:p>
        </w:tc>
        <w:tc>
          <w:tcPr>
            <w:tcW w:w="4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12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本级资金</w:t>
            </w:r>
          </w:p>
        </w:tc>
        <w:tc>
          <w:tcPr>
            <w:tcW w:w="4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4973.23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12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其他资金（万元）</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其他</w:t>
            </w:r>
          </w:p>
        </w:tc>
        <w:tc>
          <w:tcPr>
            <w:tcW w:w="4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12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合计：</w:t>
            </w:r>
          </w:p>
        </w:tc>
        <w:tc>
          <w:tcPr>
            <w:tcW w:w="4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4973.23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一级指标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二级指标</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三级指标</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指标值</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指标值设定依据</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运行成本</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管理效率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履职效能</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数量指标</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新增农村公路建设里程</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&gt;=35.48公里</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2024年度可研报告</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农村公路大中小修养护工程面积</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&gt;=30000平方米</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2024年度可研报告</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保障全年公路养护总公里</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&gt;=1128.52公里</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2024年度可研报告</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质量指标</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公路验收合格率</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&gt;=90%</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2024年度可研报告</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社会效益</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可持续发展能力</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服务对象满意度</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r>
    </w:tbl>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rPr>
      </w:pPr>
    </w:p>
    <w:tbl>
      <w:tblPr>
        <w:tblStyle w:val="6"/>
        <w:tblW w:w="92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3"/>
        <w:gridCol w:w="1054"/>
        <w:gridCol w:w="1059"/>
        <w:gridCol w:w="949"/>
        <w:gridCol w:w="1059"/>
        <w:gridCol w:w="1055"/>
        <w:gridCol w:w="1059"/>
        <w:gridCol w:w="1053"/>
        <w:gridCol w:w="9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05" w:hRule="atLeast"/>
        </w:trPr>
        <w:tc>
          <w:tcPr>
            <w:tcW w:w="9268"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9268"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1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更新新能源公交车（2024年分期支付车款）项目（非定额）</w:t>
            </w:r>
          </w:p>
        </w:tc>
        <w:tc>
          <w:tcPr>
            <w:tcW w:w="21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胥新宇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836</w:t>
            </w:r>
          </w:p>
        </w:tc>
        <w:tc>
          <w:tcPr>
            <w:tcW w:w="1059"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836</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161"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更新新能源公交车，提高公交系统的便捷性、舒适性和环境友好性，促进城市公共交通的可持续发展。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5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5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5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4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5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05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105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5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2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更新新能源公交车（数辆）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&gt;=20辆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资金使用合规率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项目完成时限</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2024年12月31日</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车辆购进及时率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保障公共交通绿色出行</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持续改善</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rPr>
      </w:pPr>
    </w:p>
    <w:p>
      <w:pPr>
        <w:pStyle w:val="2"/>
        <w:ind w:firstLine="427" w:firstLineChars="0"/>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tbl>
      <w:tblPr>
        <w:tblStyle w:val="6"/>
        <w:tblW w:w="96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77"/>
        <w:gridCol w:w="1078"/>
        <w:gridCol w:w="1077"/>
        <w:gridCol w:w="1078"/>
        <w:gridCol w:w="1078"/>
        <w:gridCol w:w="1077"/>
        <w:gridCol w:w="1078"/>
        <w:gridCol w:w="1077"/>
        <w:gridCol w:w="10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05" w:hRule="atLeast"/>
        </w:trPr>
        <w:tc>
          <w:tcPr>
            <w:tcW w:w="9672"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9672"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51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公交公司成本规制费项目（非定额）</w:t>
            </w:r>
          </w:p>
        </w:tc>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胥新宇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480</w:t>
            </w:r>
          </w:p>
        </w:tc>
        <w:tc>
          <w:tcPr>
            <w:tcW w:w="1078"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517"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保障公共交通工具正常运行，构建安全、方便、快捷、经济、舒适、低碳、环保的公共交通体系，满足城乡居民出行需要。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7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7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7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7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07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107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7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05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补贴公交车数量</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&gt;=80辆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资金使用合规率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补贴发放完成率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补贴发放及时率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我县公交车运行状态</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受益公交车司机满意度</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rPr>
      </w:pPr>
    </w:p>
    <w:p>
      <w:pPr>
        <w:rPr>
          <w:rFonts w:hint="eastAsia" w:ascii="仿宋_GB2312" w:hAnsi="仿宋_GB2312" w:eastAsia="仿宋_GB2312" w:cs="仿宋_GB2312"/>
          <w:b/>
          <w:kern w:val="0"/>
          <w:sz w:val="32"/>
          <w:szCs w:val="32"/>
          <w:highlight w:val="none"/>
        </w:rPr>
      </w:pPr>
    </w:p>
    <w:tbl>
      <w:tblPr>
        <w:tblStyle w:val="6"/>
        <w:tblW w:w="94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61"/>
        <w:gridCol w:w="1062"/>
        <w:gridCol w:w="1068"/>
        <w:gridCol w:w="967"/>
        <w:gridCol w:w="1066"/>
        <w:gridCol w:w="1063"/>
        <w:gridCol w:w="1066"/>
        <w:gridCol w:w="1061"/>
        <w:gridCol w:w="10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05" w:hRule="atLeast"/>
        </w:trPr>
        <w:tc>
          <w:tcPr>
            <w:tcW w:w="946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946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33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农村公路养护管理费（县级配套）项目-清雪设备购置（非定额）</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贾娜尔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w:t>
            </w:r>
          </w:p>
        </w:tc>
        <w:tc>
          <w:tcPr>
            <w:tcW w:w="1066"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338"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通过购置清雪设备，积极完成清雪任务，提高我县农村公路安全行驶系数，改善群众出行条件。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6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6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6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06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106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04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购买清雪设备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=2个</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设备验收合格率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设备购买及时性</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清雪及时率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能够扩大道路清雪面积</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扩大</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清雪人员满意度（%）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rPr>
      </w:pPr>
    </w:p>
    <w:p>
      <w:pPr>
        <w:rPr>
          <w:rFonts w:hint="eastAsia"/>
        </w:rPr>
      </w:pPr>
    </w:p>
    <w:p>
      <w:pPr>
        <w:pStyle w:val="2"/>
        <w:rPr>
          <w:rFonts w:hint="eastAsia"/>
        </w:rPr>
      </w:pPr>
    </w:p>
    <w:tbl>
      <w:tblPr>
        <w:tblStyle w:val="6"/>
        <w:tblW w:w="93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60"/>
        <w:gridCol w:w="1061"/>
        <w:gridCol w:w="1063"/>
        <w:gridCol w:w="996"/>
        <w:gridCol w:w="1064"/>
        <w:gridCol w:w="1061"/>
        <w:gridCol w:w="1064"/>
        <w:gridCol w:w="1060"/>
        <w:gridCol w:w="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05" w:hRule="atLeast"/>
        </w:trPr>
        <w:tc>
          <w:tcPr>
            <w:tcW w:w="9385"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9385"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26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农村公路养护管理费（县级配套）项目（非定额）</w:t>
            </w:r>
          </w:p>
        </w:tc>
        <w:tc>
          <w:tcPr>
            <w:tcW w:w="2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0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贾娜尔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w:t>
            </w:r>
          </w:p>
        </w:tc>
        <w:tc>
          <w:tcPr>
            <w:tcW w:w="1064"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0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2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264"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通过实施本项目。提升我县农村公路等级，改善群众出行条件。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6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9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6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0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106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6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5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完成县乡道路清雪长度</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=195公里</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清雪区域覆盖率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清雪截止时限</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2024年12月31日</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清雪完成及时率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改善农村公路路面环境</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明显改善</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2"/>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jc w:val="left"/>
        <w:textAlignment w:val="auto"/>
        <w:outlineLvl w:val="0"/>
        <w:rPr>
          <w:rFonts w:hint="eastAsia" w:ascii="仿宋_GB2312" w:hAnsi="仿宋_GB2312" w:eastAsia="仿宋_GB2312" w:cs="仿宋_GB2312"/>
          <w:color w:val="auto"/>
          <w:kern w:val="0"/>
          <w:sz w:val="32"/>
          <w:szCs w:val="32"/>
          <w:highlight w:val="none"/>
        </w:rPr>
      </w:pPr>
      <w:bookmarkStart w:id="0" w:name="_GoBack"/>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385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bookmarkEnd w:id="0"/>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jc w:val="center"/>
        <w:textAlignment w:val="auto"/>
        <w:outlineLvl w:val="0"/>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1"/>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1"/>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438" w:leftChars="304" w:hanging="4800" w:hangingChars="15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呼图壁县交通运输局</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1MWY4YzU5MDE2OGZmOTIyOGViNTVmOGE1NzVjZmUifQ=="/>
  </w:docVars>
  <w:rsids>
    <w:rsidRoot w:val="10587512"/>
    <w:rsid w:val="002A52A0"/>
    <w:rsid w:val="003E6D2B"/>
    <w:rsid w:val="00883F7A"/>
    <w:rsid w:val="00BE2A24"/>
    <w:rsid w:val="00EE2224"/>
    <w:rsid w:val="0208577A"/>
    <w:rsid w:val="04267B2D"/>
    <w:rsid w:val="042D5ACB"/>
    <w:rsid w:val="047F27FA"/>
    <w:rsid w:val="0503239C"/>
    <w:rsid w:val="05397FD9"/>
    <w:rsid w:val="05725133"/>
    <w:rsid w:val="06EC787A"/>
    <w:rsid w:val="070E6657"/>
    <w:rsid w:val="07494069"/>
    <w:rsid w:val="078F37D7"/>
    <w:rsid w:val="08450B28"/>
    <w:rsid w:val="0A676836"/>
    <w:rsid w:val="0A9B4E41"/>
    <w:rsid w:val="0B247F12"/>
    <w:rsid w:val="0B366348"/>
    <w:rsid w:val="0B5B7DEE"/>
    <w:rsid w:val="0BEC203D"/>
    <w:rsid w:val="0BEE7808"/>
    <w:rsid w:val="0CB7073D"/>
    <w:rsid w:val="0D1B408A"/>
    <w:rsid w:val="0D6E5FD0"/>
    <w:rsid w:val="0D760A2E"/>
    <w:rsid w:val="0E9208E7"/>
    <w:rsid w:val="0ED531A1"/>
    <w:rsid w:val="0F945B31"/>
    <w:rsid w:val="101A0FDF"/>
    <w:rsid w:val="10587512"/>
    <w:rsid w:val="10916BDA"/>
    <w:rsid w:val="111F4B90"/>
    <w:rsid w:val="11A96D96"/>
    <w:rsid w:val="127A1044"/>
    <w:rsid w:val="12F41443"/>
    <w:rsid w:val="12F47048"/>
    <w:rsid w:val="12F856FA"/>
    <w:rsid w:val="14020ECF"/>
    <w:rsid w:val="141B6E1E"/>
    <w:rsid w:val="14D902A4"/>
    <w:rsid w:val="150C6087"/>
    <w:rsid w:val="155B1B40"/>
    <w:rsid w:val="163C6D3C"/>
    <w:rsid w:val="1697741D"/>
    <w:rsid w:val="1732414C"/>
    <w:rsid w:val="179E01E3"/>
    <w:rsid w:val="1A0E09F0"/>
    <w:rsid w:val="1A600F16"/>
    <w:rsid w:val="1B1213FD"/>
    <w:rsid w:val="1BE71324"/>
    <w:rsid w:val="1BEB54C3"/>
    <w:rsid w:val="1C24274C"/>
    <w:rsid w:val="1C3C6084"/>
    <w:rsid w:val="1CEB6DC6"/>
    <w:rsid w:val="1D3E1AFE"/>
    <w:rsid w:val="1E3E386E"/>
    <w:rsid w:val="1EB61656"/>
    <w:rsid w:val="1EE12B77"/>
    <w:rsid w:val="1F0F60B7"/>
    <w:rsid w:val="20DD55C0"/>
    <w:rsid w:val="20F7606A"/>
    <w:rsid w:val="21533057"/>
    <w:rsid w:val="21C65182"/>
    <w:rsid w:val="223F3D4C"/>
    <w:rsid w:val="22620E6B"/>
    <w:rsid w:val="226C4407"/>
    <w:rsid w:val="22DB78DD"/>
    <w:rsid w:val="239A1C79"/>
    <w:rsid w:val="23BF7E95"/>
    <w:rsid w:val="23D24529"/>
    <w:rsid w:val="24186EC9"/>
    <w:rsid w:val="243B1D30"/>
    <w:rsid w:val="244D65B8"/>
    <w:rsid w:val="2492221D"/>
    <w:rsid w:val="256E4DD9"/>
    <w:rsid w:val="26B4291F"/>
    <w:rsid w:val="26E769FA"/>
    <w:rsid w:val="27A30718"/>
    <w:rsid w:val="28F27F55"/>
    <w:rsid w:val="293B2E83"/>
    <w:rsid w:val="2A012DF7"/>
    <w:rsid w:val="2AFC4894"/>
    <w:rsid w:val="2B8C4207"/>
    <w:rsid w:val="2C757DAD"/>
    <w:rsid w:val="2C9120AF"/>
    <w:rsid w:val="2CD04E00"/>
    <w:rsid w:val="2CFA2FB6"/>
    <w:rsid w:val="2D3A3B74"/>
    <w:rsid w:val="2D480265"/>
    <w:rsid w:val="2D977453"/>
    <w:rsid w:val="2E8849D0"/>
    <w:rsid w:val="2E901531"/>
    <w:rsid w:val="2EC60D2A"/>
    <w:rsid w:val="2EC658E5"/>
    <w:rsid w:val="2EE33274"/>
    <w:rsid w:val="2EF22236"/>
    <w:rsid w:val="2FF90CD8"/>
    <w:rsid w:val="304D2945"/>
    <w:rsid w:val="31013AE0"/>
    <w:rsid w:val="31615FBB"/>
    <w:rsid w:val="332562B4"/>
    <w:rsid w:val="33F407FF"/>
    <w:rsid w:val="34975138"/>
    <w:rsid w:val="34C508F3"/>
    <w:rsid w:val="355F3C6E"/>
    <w:rsid w:val="36797D75"/>
    <w:rsid w:val="36E26A2B"/>
    <w:rsid w:val="3789239D"/>
    <w:rsid w:val="38075579"/>
    <w:rsid w:val="38906B3D"/>
    <w:rsid w:val="38DF4769"/>
    <w:rsid w:val="3960312F"/>
    <w:rsid w:val="396F7738"/>
    <w:rsid w:val="39F326AC"/>
    <w:rsid w:val="3A550B52"/>
    <w:rsid w:val="3A675CBC"/>
    <w:rsid w:val="3A8A3DC2"/>
    <w:rsid w:val="3B016F3B"/>
    <w:rsid w:val="3B1C6074"/>
    <w:rsid w:val="3C8F2D8E"/>
    <w:rsid w:val="3D0963CB"/>
    <w:rsid w:val="3DCF136B"/>
    <w:rsid w:val="3E1F4F72"/>
    <w:rsid w:val="3E214EAE"/>
    <w:rsid w:val="3E783585"/>
    <w:rsid w:val="3F477E4C"/>
    <w:rsid w:val="3FDF4D23"/>
    <w:rsid w:val="41D42802"/>
    <w:rsid w:val="43405959"/>
    <w:rsid w:val="43B62A17"/>
    <w:rsid w:val="43C26223"/>
    <w:rsid w:val="43D8307E"/>
    <w:rsid w:val="457C2BB7"/>
    <w:rsid w:val="462C67AC"/>
    <w:rsid w:val="463664EA"/>
    <w:rsid w:val="46CE3131"/>
    <w:rsid w:val="46D55E6D"/>
    <w:rsid w:val="46E7537F"/>
    <w:rsid w:val="46EC0B25"/>
    <w:rsid w:val="47A55730"/>
    <w:rsid w:val="48200D42"/>
    <w:rsid w:val="494F7907"/>
    <w:rsid w:val="497955D6"/>
    <w:rsid w:val="4A1021CA"/>
    <w:rsid w:val="4A8342DC"/>
    <w:rsid w:val="4ABB6B0C"/>
    <w:rsid w:val="4B79470D"/>
    <w:rsid w:val="4C0055E5"/>
    <w:rsid w:val="4C2C4B82"/>
    <w:rsid w:val="4C3677AE"/>
    <w:rsid w:val="4C706B3A"/>
    <w:rsid w:val="4CCF6BB4"/>
    <w:rsid w:val="4E9419FC"/>
    <w:rsid w:val="4F96686B"/>
    <w:rsid w:val="4FB13448"/>
    <w:rsid w:val="503A77BA"/>
    <w:rsid w:val="506D2E5F"/>
    <w:rsid w:val="51C15CED"/>
    <w:rsid w:val="51F52475"/>
    <w:rsid w:val="51FD240F"/>
    <w:rsid w:val="52285DEB"/>
    <w:rsid w:val="522C67A6"/>
    <w:rsid w:val="5230422E"/>
    <w:rsid w:val="52AD62F0"/>
    <w:rsid w:val="53D72D9A"/>
    <w:rsid w:val="54367ED2"/>
    <w:rsid w:val="54457009"/>
    <w:rsid w:val="546308FE"/>
    <w:rsid w:val="55BA4781"/>
    <w:rsid w:val="567C3EBD"/>
    <w:rsid w:val="57C13CA6"/>
    <w:rsid w:val="59A74AE3"/>
    <w:rsid w:val="59B75F5A"/>
    <w:rsid w:val="59D82CAC"/>
    <w:rsid w:val="5A023CC4"/>
    <w:rsid w:val="5C8514A1"/>
    <w:rsid w:val="5E225451"/>
    <w:rsid w:val="5ECC47F6"/>
    <w:rsid w:val="5F2346ED"/>
    <w:rsid w:val="5FDE6E47"/>
    <w:rsid w:val="5FF64695"/>
    <w:rsid w:val="61086613"/>
    <w:rsid w:val="61A32F24"/>
    <w:rsid w:val="61D94B93"/>
    <w:rsid w:val="62811521"/>
    <w:rsid w:val="63FF2311"/>
    <w:rsid w:val="6408782B"/>
    <w:rsid w:val="64422B5C"/>
    <w:rsid w:val="647924D6"/>
    <w:rsid w:val="6487618C"/>
    <w:rsid w:val="65321FB9"/>
    <w:rsid w:val="65322CBF"/>
    <w:rsid w:val="669E6E45"/>
    <w:rsid w:val="66BC48FC"/>
    <w:rsid w:val="66F7731A"/>
    <w:rsid w:val="6785017D"/>
    <w:rsid w:val="67C938D3"/>
    <w:rsid w:val="67E11A22"/>
    <w:rsid w:val="67FE7AF3"/>
    <w:rsid w:val="68597773"/>
    <w:rsid w:val="68CC52CB"/>
    <w:rsid w:val="68DE4FFE"/>
    <w:rsid w:val="694B58D7"/>
    <w:rsid w:val="69CE4E15"/>
    <w:rsid w:val="69D10A4A"/>
    <w:rsid w:val="6A1B447C"/>
    <w:rsid w:val="6B7F3246"/>
    <w:rsid w:val="6C1A14AD"/>
    <w:rsid w:val="6C47544D"/>
    <w:rsid w:val="6CDA42B2"/>
    <w:rsid w:val="6EF07839"/>
    <w:rsid w:val="6F3B0F73"/>
    <w:rsid w:val="6F51077E"/>
    <w:rsid w:val="6F63000B"/>
    <w:rsid w:val="70537195"/>
    <w:rsid w:val="71520601"/>
    <w:rsid w:val="71861232"/>
    <w:rsid w:val="72B56DCF"/>
    <w:rsid w:val="72DA5B3D"/>
    <w:rsid w:val="7309120B"/>
    <w:rsid w:val="73105D35"/>
    <w:rsid w:val="748A745A"/>
    <w:rsid w:val="74E457F2"/>
    <w:rsid w:val="750C54F9"/>
    <w:rsid w:val="757C356B"/>
    <w:rsid w:val="75B570E6"/>
    <w:rsid w:val="75B73C34"/>
    <w:rsid w:val="76D71E76"/>
    <w:rsid w:val="77067859"/>
    <w:rsid w:val="7786436A"/>
    <w:rsid w:val="780A1873"/>
    <w:rsid w:val="787D11B8"/>
    <w:rsid w:val="792C5912"/>
    <w:rsid w:val="7A320D06"/>
    <w:rsid w:val="7A8D60B5"/>
    <w:rsid w:val="7B9A36C5"/>
    <w:rsid w:val="7CA0394F"/>
    <w:rsid w:val="7D006E99"/>
    <w:rsid w:val="7D411EE9"/>
    <w:rsid w:val="7DD1383D"/>
    <w:rsid w:val="7DEB1AA6"/>
    <w:rsid w:val="7E8B30DA"/>
    <w:rsid w:val="7F06557E"/>
    <w:rsid w:val="7FFE6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hint="eastAsia" w:ascii="Arial" w:hAnsi="Arial" w:eastAsia="黑体"/>
      <w:b/>
      <w:sz w:val="21"/>
      <w:szCs w:val="24"/>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2024-07-24T02:42:01Z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